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076F2002"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E051CF">
        <w:rPr>
          <w:rFonts w:cs="Arial"/>
          <w:bCs/>
          <w:noProof w:val="0"/>
          <w:sz w:val="24"/>
        </w:rPr>
        <w:t>5</w:t>
      </w:r>
      <w:r w:rsidR="003B1338">
        <w:rPr>
          <w:rFonts w:cs="Arial"/>
          <w:bCs/>
          <w:noProof w:val="0"/>
          <w:sz w:val="24"/>
        </w:rPr>
        <w:t>-e</w:t>
      </w:r>
      <w:r>
        <w:rPr>
          <w:rFonts w:cs="Arial"/>
          <w:bCs/>
          <w:noProof w:val="0"/>
          <w:sz w:val="24"/>
        </w:rPr>
        <w:tab/>
      </w:r>
      <w:r w:rsidR="00427F43" w:rsidRPr="00427F43">
        <w:rPr>
          <w:rFonts w:cs="Arial"/>
          <w:bCs/>
          <w:noProof w:val="0"/>
          <w:sz w:val="24"/>
          <w:lang w:eastAsia="ja-JP"/>
        </w:rPr>
        <w:t>R2-2107923</w:t>
      </w:r>
    </w:p>
    <w:p w14:paraId="4332BCF4" w14:textId="4DC75EA0" w:rsidR="00015561" w:rsidRPr="00283E0E" w:rsidRDefault="00945A08" w:rsidP="00246389">
      <w:pPr>
        <w:pStyle w:val="ac"/>
        <w:rPr>
          <w:b/>
          <w:bCs/>
          <w:color w:val="auto"/>
          <w:sz w:val="24"/>
        </w:rPr>
      </w:pPr>
      <w:r w:rsidRPr="00283E0E">
        <w:rPr>
          <w:b/>
          <w:bCs/>
          <w:color w:val="auto"/>
          <w:sz w:val="24"/>
        </w:rPr>
        <w:t xml:space="preserve">Online, </w:t>
      </w:r>
      <w:r w:rsidR="00F405B3">
        <w:rPr>
          <w:b/>
          <w:bCs/>
          <w:color w:val="auto"/>
          <w:sz w:val="24"/>
        </w:rPr>
        <w:t>August</w:t>
      </w:r>
      <w:r w:rsidR="00A27686" w:rsidRPr="00283E0E">
        <w:rPr>
          <w:b/>
          <w:bCs/>
          <w:color w:val="auto"/>
          <w:sz w:val="24"/>
        </w:rPr>
        <w:t xml:space="preserve"> </w:t>
      </w:r>
      <w:r w:rsidR="002E09BD">
        <w:rPr>
          <w:b/>
          <w:bCs/>
          <w:color w:val="auto"/>
          <w:sz w:val="24"/>
        </w:rPr>
        <w:t>9</w:t>
      </w:r>
      <w:r w:rsidR="00A27686" w:rsidRPr="00BB119C">
        <w:rPr>
          <w:b/>
          <w:bCs/>
          <w:color w:val="auto"/>
          <w:sz w:val="24"/>
          <w:vertAlign w:val="superscript"/>
        </w:rPr>
        <w:t>th</w:t>
      </w:r>
      <w:r w:rsidR="00A27686">
        <w:rPr>
          <w:b/>
          <w:bCs/>
          <w:color w:val="auto"/>
          <w:sz w:val="24"/>
        </w:rPr>
        <w:t xml:space="preserve"> – 2</w:t>
      </w:r>
      <w:r w:rsidR="00B272BC">
        <w:rPr>
          <w:b/>
          <w:bCs/>
          <w:color w:val="auto"/>
          <w:sz w:val="24"/>
        </w:rPr>
        <w:t>7</w:t>
      </w:r>
      <w:r w:rsidR="00A27686" w:rsidRPr="0012480F">
        <w:rPr>
          <w:b/>
          <w:bCs/>
          <w:color w:val="auto"/>
          <w:sz w:val="24"/>
          <w:vertAlign w:val="superscript"/>
        </w:rPr>
        <w:t>th</w:t>
      </w:r>
      <w:r w:rsidR="00A27686">
        <w:rPr>
          <w:b/>
          <w:bCs/>
          <w:color w:val="auto"/>
          <w:sz w:val="24"/>
        </w:rPr>
        <w:t xml:space="preserve"> </w:t>
      </w:r>
      <w:r w:rsidR="00A27686" w:rsidRPr="00283E0E">
        <w:rPr>
          <w:b/>
          <w:bCs/>
          <w:color w:val="auto"/>
          <w:sz w:val="24"/>
        </w:rPr>
        <w:t>202</w:t>
      </w:r>
      <w:r w:rsidR="00A27686">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0250D52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783E4B">
        <w:rPr>
          <w:rFonts w:cs="Arial"/>
          <w:b/>
          <w:bCs/>
          <w:sz w:val="24"/>
        </w:rPr>
        <w:t>.2</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4549DC44"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77069">
        <w:rPr>
          <w:rFonts w:cs="Arial"/>
          <w:b/>
          <w:bCs/>
          <w:sz w:val="24"/>
        </w:rPr>
        <w:t>UE behaviour in deactivated SCG</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284572FE"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discuss </w:t>
      </w:r>
      <w:r w:rsidR="00950262">
        <w:rPr>
          <w:rFonts w:eastAsiaTheme="minorEastAsia" w:cs="Arial"/>
          <w:lang w:eastAsia="zh-CN"/>
        </w:rPr>
        <w:t>few</w:t>
      </w:r>
      <w:r>
        <w:rPr>
          <w:rFonts w:eastAsiaTheme="minorEastAsia" w:cs="Arial"/>
          <w:lang w:eastAsia="zh-CN"/>
        </w:rPr>
        <w:t xml:space="preserve"> issues</w:t>
      </w:r>
      <w:r w:rsidR="00950262">
        <w:rPr>
          <w:rFonts w:eastAsiaTheme="minorEastAsia" w:cs="Arial"/>
          <w:lang w:eastAsia="zh-CN"/>
        </w:rPr>
        <w:t xml:space="preserve"> related to UE behaviour when SCG is deactivated.</w:t>
      </w:r>
    </w:p>
    <w:p w14:paraId="2F31C8F2" w14:textId="28582C2B" w:rsidR="00087095" w:rsidRPr="00087095" w:rsidRDefault="00482ABA" w:rsidP="00AB031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r w:rsidR="00BF5355">
        <w:t xml:space="preserve"> </w:t>
      </w:r>
    </w:p>
    <w:p w14:paraId="0C1B5C59" w14:textId="2CB23C5E" w:rsidR="00C768DB" w:rsidRDefault="003B1338" w:rsidP="00F05900">
      <w:pPr>
        <w:pStyle w:val="2"/>
      </w:pPr>
      <w:r>
        <w:t xml:space="preserve">2.1 </w:t>
      </w:r>
      <w:r w:rsidR="00F05900">
        <w:tab/>
        <w:t>On TAT, BFD, and RLM</w:t>
      </w:r>
    </w:p>
    <w:p w14:paraId="29BB14E0" w14:textId="39BE7652" w:rsidR="00697079" w:rsidRDefault="00697079" w:rsidP="00697079">
      <w:r>
        <w:t xml:space="preserve">It has been discussed in the previous meetings whether the UE shall </w:t>
      </w:r>
      <w:r w:rsidR="00CC14DE">
        <w:t xml:space="preserve">monitor DL beams, keep associated TAT running </w:t>
      </w:r>
      <w:r w:rsidR="00013A27">
        <w:t>upon SCG deactivation</w:t>
      </w:r>
      <w:r w:rsidR="003C022E">
        <w:t xml:space="preserve">. </w:t>
      </w:r>
      <w:r w:rsidR="005B728E">
        <w:t xml:space="preserve">The following agreements have been made. </w:t>
      </w:r>
    </w:p>
    <w:p w14:paraId="0797ECA6" w14:textId="25EFB552" w:rsidR="002C4268" w:rsidRDefault="002C4268"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640CD9">
        <w:rPr>
          <w:highlight w:val="green"/>
        </w:rPr>
        <w:t>RAN2#113e Agreements:</w:t>
      </w:r>
    </w:p>
    <w:p w14:paraId="72AFA978" w14:textId="77777777" w:rsidR="00494E2E" w:rsidRPr="00C50AE6"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p>
    <w:p w14:paraId="58054FC9"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2</w:t>
      </w:r>
      <w:r>
        <w:tab/>
      </w:r>
      <w:r w:rsidRPr="001312BF">
        <w:t>The UE behaviour when the SCG activation is indicated to the UE via the MCG is one or more of the following options:</w:t>
      </w:r>
    </w:p>
    <w:p w14:paraId="5ED2C123"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option 1)</w:t>
      </w:r>
      <w:r w:rsidRPr="001312BF">
        <w:tab/>
        <w:t>similar to reconfiguration with sync, i.e. the UE always initiates random access to the PSCell.</w:t>
      </w:r>
    </w:p>
    <w:p w14:paraId="564843DD"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option 2)</w:t>
      </w:r>
      <w:r w:rsidRPr="001312BF">
        <w:tab/>
        <w:t>in certain cases:</w:t>
      </w:r>
    </w:p>
    <w:p w14:paraId="2D60618F"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w:t>
      </w:r>
      <w:r w:rsidRPr="001312BF">
        <w:tab/>
        <w:t>the UE does not initiate random access and monitors PDCCH on the PSCell (at the latest after the specified processing time).</w:t>
      </w:r>
    </w:p>
    <w:p w14:paraId="658B707B"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w:t>
      </w:r>
      <w:r w:rsidRPr="001312BF">
        <w:tab/>
        <w:t>the SCG can schedule data transmission on the PDCCH</w:t>
      </w:r>
    </w:p>
    <w:p w14:paraId="31670E1A"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The UE decides not to perform random access (one option to be selected):</w:t>
      </w:r>
    </w:p>
    <w:p w14:paraId="5994D91B"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 xml:space="preserve">option 2a) if the TA timer is still running and possibly other conditions </w:t>
      </w:r>
      <w:r w:rsidRPr="00C50AE6">
        <w:rPr>
          <w:highlight w:val="yellow"/>
        </w:rPr>
        <w:t>(FFS how TAT starts)</w:t>
      </w:r>
    </w:p>
    <w:p w14:paraId="3E59BC99"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option 2b) based on the contents of the SCG activation indication</w:t>
      </w:r>
    </w:p>
    <w:p w14:paraId="13A5009E"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FFS for option 2a): in the SCG deactivated state, the UE monitors some DL beams (FFS if the same as BFD or RLM) and, if the UE sees that the beams are not good enough (details FFS), the UE either (one of the options to be selected):</w:t>
      </w:r>
    </w:p>
    <w:p w14:paraId="3C15685E"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w:t>
      </w:r>
      <w:r w:rsidRPr="001312BF">
        <w:tab/>
        <w:t>will perform random access upon reception of the next SCG activation indication from the MCG</w:t>
      </w:r>
    </w:p>
    <w:p w14:paraId="1C51B61E"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w:t>
      </w:r>
      <w:r w:rsidRPr="001312BF">
        <w:tab/>
        <w:t>reports measurement results (details FFS) via the MCG and wait for reconfiguration.</w:t>
      </w:r>
    </w:p>
    <w:p w14:paraId="05C459D2"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p>
    <w:p w14:paraId="307D4706" w14:textId="77777777" w:rsidR="00494E2E" w:rsidRPr="001312BF" w:rsidRDefault="00494E2E" w:rsidP="00494E2E">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1312BF">
        <w:t>5</w:t>
      </w:r>
      <w:r>
        <w:tab/>
      </w:r>
      <w:r w:rsidRPr="001312BF">
        <w:t xml:space="preserve">Continue to discuss whether some kind of beam monitoring (similar to RLM/BFD) should be supported when the SCG is deactivated. </w:t>
      </w:r>
      <w:r w:rsidRPr="00C50AE6">
        <w:rPr>
          <w:highlight w:val="yellow"/>
        </w:rPr>
        <w:t>FFS if this only applies to when TAT is running.</w:t>
      </w:r>
    </w:p>
    <w:p w14:paraId="45ABEAE4" w14:textId="2C05155D" w:rsidR="00697079" w:rsidRDefault="00697079" w:rsidP="00697079"/>
    <w:p w14:paraId="5A115C63" w14:textId="683586C1" w:rsidR="005B728E" w:rsidRDefault="008B0C75" w:rsidP="00697079">
      <w:r>
        <w:t>In our understanding, when SCG is deactivated, UE does not need to perform random access up</w:t>
      </w:r>
      <w:r w:rsidR="00102A76">
        <w:t>on SCG activation (either triggered by NW or by UE)</w:t>
      </w:r>
      <w:r w:rsidR="00922E03">
        <w:t xml:space="preserve"> if the following conditions are met:</w:t>
      </w:r>
    </w:p>
    <w:p w14:paraId="687F8B7A" w14:textId="21D6421C" w:rsidR="00922E03" w:rsidRDefault="00922E03" w:rsidP="00922E03">
      <w:pPr>
        <w:pStyle w:val="af5"/>
        <w:numPr>
          <w:ilvl w:val="0"/>
          <w:numId w:val="46"/>
        </w:numPr>
      </w:pPr>
      <w:r>
        <w:t>The associated T</w:t>
      </w:r>
      <w:r w:rsidR="00F50D70">
        <w:t>AT is not expired</w:t>
      </w:r>
    </w:p>
    <w:p w14:paraId="33B2E831" w14:textId="39A949F5" w:rsidR="00F50D70" w:rsidRDefault="00F50D70" w:rsidP="00922E03">
      <w:pPr>
        <w:pStyle w:val="af5"/>
        <w:numPr>
          <w:ilvl w:val="0"/>
          <w:numId w:val="46"/>
        </w:numPr>
      </w:pPr>
      <w:r>
        <w:t xml:space="preserve">No </w:t>
      </w:r>
      <w:r w:rsidR="0089175E">
        <w:t>beam failure detected</w:t>
      </w:r>
    </w:p>
    <w:p w14:paraId="2E8702BD" w14:textId="19D473BC" w:rsidR="0089175E" w:rsidRDefault="0089175E" w:rsidP="00922E03">
      <w:pPr>
        <w:pStyle w:val="af5"/>
        <w:numPr>
          <w:ilvl w:val="0"/>
          <w:numId w:val="46"/>
        </w:numPr>
      </w:pPr>
      <w:r>
        <w:t>No radio link failure detected</w:t>
      </w:r>
    </w:p>
    <w:p w14:paraId="03AA5D00" w14:textId="4B5E0F2E" w:rsidR="00195C08" w:rsidRDefault="004F10B5" w:rsidP="00D6359A">
      <w:r>
        <w:t xml:space="preserve">From another perspective, if any of </w:t>
      </w:r>
      <w:r w:rsidR="00855B26">
        <w:t xml:space="preserve">TAT expiry, BFD, </w:t>
      </w:r>
      <w:r w:rsidR="00342098">
        <w:t>or</w:t>
      </w:r>
      <w:r w:rsidR="00855B26">
        <w:t xml:space="preserve"> RLF occurs, the</w:t>
      </w:r>
      <w:r w:rsidR="002C5553">
        <w:t xml:space="preserve">re does not seem </w:t>
      </w:r>
      <w:r w:rsidR="00CF1C39">
        <w:t xml:space="preserve">much needed to keep the other </w:t>
      </w:r>
      <w:r w:rsidR="00E53538">
        <w:t>operations running</w:t>
      </w:r>
      <w:r w:rsidR="00A21376">
        <w:t xml:space="preserve"> since UE will have to perform RACH upon SCG activation anyway</w:t>
      </w:r>
      <w:r w:rsidR="00E53538">
        <w:t>. For example, when TAT expires, UE will stop</w:t>
      </w:r>
      <w:r w:rsidR="00114E93">
        <w:t xml:space="preserve"> beam monitoring and radio link monitoring; when BFD is detected, UE will stop TAT and radio link monitoring; when RLF is detected, UE will stop </w:t>
      </w:r>
      <w:r w:rsidR="00CD282A">
        <w:t xml:space="preserve">TAT and beam monitoring. </w:t>
      </w:r>
    </w:p>
    <w:p w14:paraId="0668C619" w14:textId="6ABD8529" w:rsidR="00D6359A" w:rsidRDefault="007B279C" w:rsidP="00D6359A">
      <w:r>
        <w:lastRenderedPageBreak/>
        <w:t xml:space="preserve">On the other hand, </w:t>
      </w:r>
      <w:r w:rsidR="00A569BA">
        <w:t xml:space="preserve">some companies </w:t>
      </w:r>
      <w:r w:rsidR="00D4480D">
        <w:t xml:space="preserve">(including us) </w:t>
      </w:r>
      <w:r w:rsidR="00A569BA">
        <w:t>are concerned about the complexity and</w:t>
      </w:r>
      <w:r w:rsidR="00D4480D">
        <w:t xml:space="preserve"> the</w:t>
      </w:r>
      <w:r w:rsidR="00A569BA">
        <w:t xml:space="preserve"> </w:t>
      </w:r>
      <w:r w:rsidR="003D2026">
        <w:t xml:space="preserve">power consumption to keep the TAT running until expiry and </w:t>
      </w:r>
      <w:r w:rsidR="00542CEF">
        <w:t>at the same time per</w:t>
      </w:r>
      <w:r w:rsidR="009F4C7C">
        <w:t xml:space="preserve">form beam </w:t>
      </w:r>
      <w:r w:rsidR="00D4480D">
        <w:t>monitoring</w:t>
      </w:r>
      <w:r w:rsidR="009F4C7C">
        <w:t xml:space="preserve"> and radio link m</w:t>
      </w:r>
      <w:r w:rsidR="00D4480D">
        <w:t xml:space="preserve">onitoring. </w:t>
      </w:r>
    </w:p>
    <w:p w14:paraId="748FCF22" w14:textId="32CE6F92" w:rsidR="00D4480D" w:rsidRDefault="00D4480D" w:rsidP="00D6359A">
      <w:r>
        <w:t xml:space="preserve">We consider this is </w:t>
      </w:r>
      <w:r w:rsidR="00AC44B3">
        <w:t xml:space="preserve">a </w:t>
      </w:r>
      <w:r>
        <w:t>trade</w:t>
      </w:r>
      <w:r w:rsidR="00AC44B3">
        <w:t>-</w:t>
      </w:r>
      <w:r>
        <w:t xml:space="preserve">off </w:t>
      </w:r>
      <w:r w:rsidR="0071634C">
        <w:t xml:space="preserve">problem </w:t>
      </w:r>
      <w:r>
        <w:t xml:space="preserve">between the complexity and </w:t>
      </w:r>
      <w:r w:rsidR="0071634C">
        <w:t>fast SCG activation</w:t>
      </w:r>
      <w:r w:rsidR="00D1313B">
        <w:t xml:space="preserve">. To have a way forward, we believe </w:t>
      </w:r>
      <w:r w:rsidR="00D74762">
        <w:t xml:space="preserve">when NW deactivates the SCG, </w:t>
      </w:r>
      <w:r w:rsidR="00D1313B">
        <w:t>it could be upon NW’s decision</w:t>
      </w:r>
      <w:r w:rsidR="00385E17">
        <w:t xml:space="preserve"> </w:t>
      </w:r>
      <w:r w:rsidR="00D74762">
        <w:t>and instruct UE to either</w:t>
      </w:r>
      <w:r w:rsidR="009B253A">
        <w:t>:</w:t>
      </w:r>
    </w:p>
    <w:p w14:paraId="349B14D9" w14:textId="2780F012" w:rsidR="009B253A" w:rsidRDefault="00195C08" w:rsidP="009B253A">
      <w:pPr>
        <w:pStyle w:val="af5"/>
        <w:numPr>
          <w:ilvl w:val="0"/>
          <w:numId w:val="46"/>
        </w:numPr>
      </w:pPr>
      <w:r>
        <w:t xml:space="preserve">Option 1: </w:t>
      </w:r>
      <w:r w:rsidR="00AF2F06">
        <w:t xml:space="preserve">Keep relevant TAT running, </w:t>
      </w:r>
      <w:r w:rsidR="00152623">
        <w:t xml:space="preserve">keep </w:t>
      </w:r>
      <w:r w:rsidR="00B55275">
        <w:t>beam monitoring and radio link monitoring</w:t>
      </w:r>
      <w:r w:rsidR="00152623">
        <w:t xml:space="preserve"> when TAT is running</w:t>
      </w:r>
      <w:r w:rsidR="00582664">
        <w:t>, or</w:t>
      </w:r>
    </w:p>
    <w:p w14:paraId="41A367F1" w14:textId="39E6EA76" w:rsidR="00582664" w:rsidRDefault="00195C08" w:rsidP="009B253A">
      <w:pPr>
        <w:pStyle w:val="af5"/>
        <w:numPr>
          <w:ilvl w:val="0"/>
          <w:numId w:val="46"/>
        </w:numPr>
      </w:pPr>
      <w:r>
        <w:t xml:space="preserve">Option 2: </w:t>
      </w:r>
      <w:r w:rsidR="00152623">
        <w:t xml:space="preserve">Stop relevant </w:t>
      </w:r>
      <w:r>
        <w:t>TAT and</w:t>
      </w:r>
      <w:r w:rsidR="00152623">
        <w:t xml:space="preserve"> </w:t>
      </w:r>
      <w:r>
        <w:t>do</w:t>
      </w:r>
      <w:r w:rsidR="001837D6">
        <w:t xml:space="preserve"> not perform beam monitoring </w:t>
      </w:r>
      <w:r>
        <w:t>or</w:t>
      </w:r>
      <w:r w:rsidR="001837D6">
        <w:t xml:space="preserve"> radio link monitoring. </w:t>
      </w:r>
    </w:p>
    <w:p w14:paraId="3E56CD46" w14:textId="43B0E063" w:rsidR="005B728E" w:rsidRDefault="00970D6F" w:rsidP="00970D6F">
      <w:pPr>
        <w:pStyle w:val="Proposal"/>
      </w:pPr>
      <w:bookmarkStart w:id="4" w:name="_Toc78895513"/>
      <w:r>
        <w:t>Upon SCG deactivation, NW indicates to UE whether to perform beam monitoring, link monitoring and keep the relevant TAT continues running.</w:t>
      </w:r>
      <w:bookmarkEnd w:id="4"/>
    </w:p>
    <w:p w14:paraId="739D1FFC" w14:textId="1DEF2AB4" w:rsidR="00970D6F" w:rsidRDefault="00C42224" w:rsidP="00970D6F">
      <w:pPr>
        <w:pStyle w:val="Proposal"/>
      </w:pPr>
      <w:bookmarkStart w:id="5" w:name="_Toc78895514"/>
      <w:r>
        <w:t>When SCG is deactivated and upon TAT expiry, UE stops beam monitoring and link monitoring.</w:t>
      </w:r>
      <w:bookmarkEnd w:id="5"/>
    </w:p>
    <w:p w14:paraId="104B6118" w14:textId="2344DAA5" w:rsidR="007153FB" w:rsidRDefault="007153FB" w:rsidP="007153FB">
      <w:pPr>
        <w:pStyle w:val="Proposal"/>
      </w:pPr>
      <w:bookmarkStart w:id="6" w:name="_Toc78895515"/>
      <w:r>
        <w:t>When SCG is deactivated and upon BFD, UE stops the relevant TAT</w:t>
      </w:r>
      <w:r w:rsidR="00113A72">
        <w:t xml:space="preserve"> and radio link monitoring</w:t>
      </w:r>
      <w:r>
        <w:t>.</w:t>
      </w:r>
      <w:bookmarkEnd w:id="6"/>
    </w:p>
    <w:p w14:paraId="2384A8C9" w14:textId="3510C1CB" w:rsidR="00113A72" w:rsidRDefault="00113A72" w:rsidP="00113A72">
      <w:pPr>
        <w:pStyle w:val="Proposal"/>
      </w:pPr>
      <w:bookmarkStart w:id="7" w:name="_Toc78895516"/>
      <w:r>
        <w:t>When SCG is deactivated and upon RLF, UE stops the relevant TAT and beam monitoring.</w:t>
      </w:r>
      <w:bookmarkEnd w:id="7"/>
    </w:p>
    <w:p w14:paraId="7B45F42F" w14:textId="77777777" w:rsidR="00C42224" w:rsidRDefault="00C42224" w:rsidP="00F11731">
      <w:pPr>
        <w:pStyle w:val="Proposal"/>
        <w:numPr>
          <w:ilvl w:val="0"/>
          <w:numId w:val="0"/>
        </w:numPr>
        <w:ind w:left="1304"/>
      </w:pPr>
    </w:p>
    <w:p w14:paraId="736649FD" w14:textId="12B2418F" w:rsidR="000720F2" w:rsidRDefault="000720F2" w:rsidP="000720F2">
      <w:pPr>
        <w:pStyle w:val="2"/>
      </w:pPr>
      <w:r>
        <w:t>2.2</w:t>
      </w:r>
      <w:r>
        <w:tab/>
        <w:t>On PSCell change with deactivated SCG</w:t>
      </w:r>
    </w:p>
    <w:p w14:paraId="5B89B97A" w14:textId="6862E470" w:rsidR="002C4268" w:rsidRPr="002C4268" w:rsidRDefault="00CB2360" w:rsidP="002C4268">
      <w:r>
        <w:t xml:space="preserve">In the previous meeting, </w:t>
      </w:r>
      <w:r w:rsidR="009208CF">
        <w:t xml:space="preserve">it is FFS whether UE should perform RACH upon PSCell change with SCG deactivated. </w:t>
      </w:r>
    </w:p>
    <w:tbl>
      <w:tblPr>
        <w:tblStyle w:val="afa"/>
        <w:tblW w:w="0" w:type="auto"/>
        <w:tblLook w:val="04A0" w:firstRow="1" w:lastRow="0" w:firstColumn="1" w:lastColumn="0" w:noHBand="0" w:noVBand="1"/>
      </w:tblPr>
      <w:tblGrid>
        <w:gridCol w:w="9855"/>
      </w:tblGrid>
      <w:tr w:rsidR="002C4268" w14:paraId="346328CF" w14:textId="77777777" w:rsidTr="002C4268">
        <w:tc>
          <w:tcPr>
            <w:tcW w:w="9855" w:type="dxa"/>
          </w:tcPr>
          <w:p w14:paraId="242A9404" w14:textId="77777777" w:rsidR="002C4268" w:rsidRPr="00BD34B5" w:rsidRDefault="002C4268" w:rsidP="002C4268">
            <w:pPr>
              <w:rPr>
                <w:b/>
                <w:bCs/>
              </w:rPr>
            </w:pPr>
            <w:r w:rsidRPr="00BD34B5">
              <w:rPr>
                <w:b/>
                <w:bCs/>
                <w:highlight w:val="green"/>
              </w:rPr>
              <w:t>RAN2#112e Agreements:</w:t>
            </w:r>
          </w:p>
          <w:p w14:paraId="107D2384" w14:textId="77777777" w:rsidR="002C4268" w:rsidRPr="00BD34B5" w:rsidRDefault="002C4268" w:rsidP="002C4268">
            <w:pPr>
              <w:pStyle w:val="af5"/>
              <w:numPr>
                <w:ilvl w:val="0"/>
                <w:numId w:val="42"/>
              </w:numPr>
              <w:rPr>
                <w:b/>
                <w:bCs/>
              </w:rPr>
            </w:pPr>
            <w:r w:rsidRPr="00BD34B5">
              <w:rPr>
                <w:b/>
                <w:bCs/>
              </w:rPr>
              <w:t>SCG RRC reconfiguration can select the SCG activation state (activated/deactivated) at PSCell addition/change, RRC resume or HO.</w:t>
            </w:r>
          </w:p>
          <w:p w14:paraId="48B3CA42" w14:textId="30B7B547" w:rsidR="002C4268" w:rsidRPr="002C4268" w:rsidRDefault="002C4268" w:rsidP="000720F2">
            <w:pPr>
              <w:pStyle w:val="af5"/>
              <w:numPr>
                <w:ilvl w:val="0"/>
                <w:numId w:val="42"/>
              </w:numPr>
              <w:rPr>
                <w:b/>
                <w:bCs/>
                <w:lang w:val="en-US"/>
              </w:rPr>
            </w:pPr>
            <w:r w:rsidRPr="00BD34B5">
              <w:rPr>
                <w:b/>
                <w:bCs/>
                <w:lang w:val="en-US"/>
              </w:rPr>
              <w:t xml:space="preserve">The SCG RRCReconfiguration can change the PSCell.  </w:t>
            </w:r>
            <w:r w:rsidRPr="00BD34B5">
              <w:rPr>
                <w:b/>
                <w:bCs/>
                <w:highlight w:val="yellow"/>
                <w:lang w:val="en-US"/>
              </w:rPr>
              <w:t>FFS if the UE does RACH towards the target PSCell, in that case.</w:t>
            </w:r>
          </w:p>
        </w:tc>
      </w:tr>
    </w:tbl>
    <w:p w14:paraId="77B04CC1" w14:textId="417D7390" w:rsidR="000720F2" w:rsidRPr="002C4268" w:rsidRDefault="000720F2" w:rsidP="000720F2">
      <w:pPr>
        <w:rPr>
          <w:lang w:val="en-US"/>
        </w:rPr>
      </w:pPr>
    </w:p>
    <w:p w14:paraId="04C72113" w14:textId="0ED1EB00" w:rsidR="000720F2" w:rsidRDefault="00180E67" w:rsidP="000720F2">
      <w:pPr>
        <w:rPr>
          <w:lang w:val="en-US"/>
        </w:rPr>
      </w:pPr>
      <w:r>
        <w:rPr>
          <w:lang w:val="en-US"/>
        </w:rPr>
        <w:t>After receiving</w:t>
      </w:r>
      <w:r w:rsidR="00742EF1">
        <w:rPr>
          <w:lang w:val="en-US"/>
        </w:rPr>
        <w:t xml:space="preserve"> and applying</w:t>
      </w:r>
      <w:r>
        <w:rPr>
          <w:lang w:val="en-US"/>
        </w:rPr>
        <w:t xml:space="preserve"> the SCG RRCReconfiguration from SN</w:t>
      </w:r>
      <w:r w:rsidR="003872AE">
        <w:rPr>
          <w:lang w:val="en-US"/>
        </w:rPr>
        <w:t>, UE will reply a RRC complete message to SN, which will inform</w:t>
      </w:r>
      <w:r w:rsidR="00D00A51">
        <w:rPr>
          <w:lang w:val="en-US"/>
        </w:rPr>
        <w:t xml:space="preserve"> the NW about</w:t>
      </w:r>
      <w:r w:rsidR="00F15328">
        <w:rPr>
          <w:lang w:val="en-US"/>
        </w:rPr>
        <w:t xml:space="preserve"> successfully</w:t>
      </w:r>
      <w:r w:rsidR="00D00A51">
        <w:rPr>
          <w:lang w:val="en-US"/>
        </w:rPr>
        <w:t xml:space="preserve"> applying the PSCell change configuration. In case the </w:t>
      </w:r>
      <w:r w:rsidR="00186F5C">
        <w:rPr>
          <w:lang w:val="en-US"/>
        </w:rPr>
        <w:t xml:space="preserve">SCG associated with the </w:t>
      </w:r>
      <w:r w:rsidR="0029183E">
        <w:rPr>
          <w:lang w:val="en-US"/>
        </w:rPr>
        <w:t>target</w:t>
      </w:r>
      <w:r w:rsidR="00186F5C">
        <w:rPr>
          <w:lang w:val="en-US"/>
        </w:rPr>
        <w:t xml:space="preserve"> PSCell is configured to be deactivated, UE </w:t>
      </w:r>
      <w:r w:rsidR="0029183E">
        <w:rPr>
          <w:lang w:val="en-US"/>
        </w:rPr>
        <w:t>does not have to perform RACH towards the target PSCell</w:t>
      </w:r>
      <w:r w:rsidR="00FB398F">
        <w:rPr>
          <w:lang w:val="en-US"/>
        </w:rPr>
        <w:t xml:space="preserve"> immediately</w:t>
      </w:r>
      <w:r w:rsidR="0029183E">
        <w:rPr>
          <w:lang w:val="en-US"/>
        </w:rPr>
        <w:t>.</w:t>
      </w:r>
      <w:r w:rsidR="00E423A1">
        <w:rPr>
          <w:lang w:val="en-US"/>
        </w:rPr>
        <w:t xml:space="preserve"> </w:t>
      </w:r>
      <w:r w:rsidR="00FB398F">
        <w:rPr>
          <w:lang w:val="en-US"/>
        </w:rPr>
        <w:t xml:space="preserve">Instead, </w:t>
      </w:r>
      <w:r w:rsidR="00E423A1">
        <w:rPr>
          <w:lang w:val="en-US"/>
        </w:rPr>
        <w:t xml:space="preserve">UE will perform RACH </w:t>
      </w:r>
      <w:r w:rsidR="00FB398F">
        <w:rPr>
          <w:lang w:val="en-US"/>
        </w:rPr>
        <w:t xml:space="preserve">later </w:t>
      </w:r>
      <w:r w:rsidR="00E423A1">
        <w:rPr>
          <w:lang w:val="en-US"/>
        </w:rPr>
        <w:t xml:space="preserve">upon the SCG activation. </w:t>
      </w:r>
      <w:r w:rsidR="003467EB">
        <w:rPr>
          <w:lang w:val="en-US"/>
        </w:rPr>
        <w:t xml:space="preserve">In the meanwhile, NW may decide to change PSCell again based on the received </w:t>
      </w:r>
      <w:r w:rsidR="006D6681">
        <w:rPr>
          <w:lang w:val="en-US"/>
        </w:rPr>
        <w:t xml:space="preserve">L3 measurement report. </w:t>
      </w:r>
    </w:p>
    <w:p w14:paraId="392A1926" w14:textId="14F4CDB3" w:rsidR="002E6984" w:rsidRDefault="005F3078" w:rsidP="00990611">
      <w:pPr>
        <w:pStyle w:val="Proposal"/>
        <w:rPr>
          <w:lang w:val="en-US"/>
        </w:rPr>
      </w:pPr>
      <w:bookmarkStart w:id="8" w:name="_Toc78895517"/>
      <w:r>
        <w:rPr>
          <w:lang w:val="en-US"/>
        </w:rPr>
        <w:t>UE does not perform RACH towards the target PSCell if the associated SCG is deactivated.</w:t>
      </w:r>
      <w:bookmarkEnd w:id="8"/>
    </w:p>
    <w:p w14:paraId="4A7B28C5" w14:textId="71D7F736" w:rsidR="00515AC2" w:rsidRDefault="00515AC2" w:rsidP="000720F2">
      <w:pPr>
        <w:rPr>
          <w:lang w:val="en-US"/>
        </w:rPr>
      </w:pPr>
    </w:p>
    <w:p w14:paraId="2FB3E743" w14:textId="38FC9CF8" w:rsidR="00515AC2" w:rsidRDefault="00515AC2" w:rsidP="000720F2">
      <w:pPr>
        <w:rPr>
          <w:lang w:val="en-US"/>
        </w:rPr>
      </w:pPr>
      <w:r>
        <w:rPr>
          <w:lang w:val="en-US"/>
        </w:rPr>
        <w:t>However, in the legacy</w:t>
      </w:r>
      <w:r w:rsidR="00DD4675">
        <w:rPr>
          <w:lang w:val="en-US"/>
        </w:rPr>
        <w:t>,</w:t>
      </w:r>
      <w:r w:rsidR="00920C8B">
        <w:rPr>
          <w:lang w:val="en-US"/>
        </w:rPr>
        <w:t xml:space="preserve"> timer</w:t>
      </w:r>
      <w:r w:rsidR="00DD4675">
        <w:rPr>
          <w:lang w:val="en-US"/>
        </w:rPr>
        <w:t xml:space="preserve"> T304 will start upon receiving RRCReconfiguration message including reconfigurationWithSync</w:t>
      </w:r>
      <w:r w:rsidR="00824CFE">
        <w:rPr>
          <w:lang w:val="en-US"/>
        </w:rPr>
        <w:t xml:space="preserve"> and will stop upon successful completion of random access on the corresponding SpCell.</w:t>
      </w:r>
      <w:r w:rsidR="00920C8B">
        <w:rPr>
          <w:lang w:val="en-US"/>
        </w:rPr>
        <w:t xml:space="preserve"> If proposal 4 is agreed</w:t>
      </w:r>
      <w:r w:rsidR="00A3001C">
        <w:rPr>
          <w:lang w:val="en-US"/>
        </w:rPr>
        <w:t xml:space="preserve"> so that </w:t>
      </w:r>
      <w:r w:rsidR="00920C8B">
        <w:rPr>
          <w:lang w:val="en-US"/>
        </w:rPr>
        <w:t>UE does not perform RACH towards the target PSCell if associated SCG is deactivated,</w:t>
      </w:r>
      <w:r w:rsidR="00A3001C">
        <w:rPr>
          <w:lang w:val="en-US"/>
        </w:rPr>
        <w:t xml:space="preserve"> T304 triggered by receiving </w:t>
      </w:r>
      <w:r w:rsidR="00484CEA">
        <w:rPr>
          <w:lang w:val="en-US"/>
        </w:rPr>
        <w:t>reconfigurationWithSync for the target PSCell</w:t>
      </w:r>
      <w:r w:rsidR="00A3001C">
        <w:rPr>
          <w:lang w:val="en-US"/>
        </w:rPr>
        <w:t xml:space="preserve"> will of course expire</w:t>
      </w:r>
      <w:r w:rsidR="00DF4442">
        <w:rPr>
          <w:lang w:val="en-US"/>
        </w:rPr>
        <w:t>. T304 expiry will be treated as SCG failure according to legacy, which is not applicable in case of deactivated SCG.</w:t>
      </w:r>
    </w:p>
    <w:tbl>
      <w:tblPr>
        <w:tblStyle w:val="afa"/>
        <w:tblW w:w="0" w:type="auto"/>
        <w:tblLook w:val="04A0" w:firstRow="1" w:lastRow="0" w:firstColumn="1" w:lastColumn="0" w:noHBand="0" w:noVBand="1"/>
      </w:tblPr>
      <w:tblGrid>
        <w:gridCol w:w="2403"/>
        <w:gridCol w:w="2403"/>
        <w:gridCol w:w="2403"/>
        <w:gridCol w:w="2404"/>
      </w:tblGrid>
      <w:tr w:rsidR="00515AC2" w:rsidRPr="00515AC2" w14:paraId="7CC7C412" w14:textId="77777777" w:rsidTr="00A573DC">
        <w:tc>
          <w:tcPr>
            <w:tcW w:w="2403" w:type="dxa"/>
          </w:tcPr>
          <w:p w14:paraId="372E6268" w14:textId="77777777" w:rsidR="00515AC2" w:rsidRPr="00515AC2" w:rsidRDefault="00515AC2" w:rsidP="00A573DC">
            <w:pPr>
              <w:rPr>
                <w:b/>
                <w:bCs/>
                <w:sz w:val="14"/>
                <w:szCs w:val="14"/>
              </w:rPr>
            </w:pPr>
            <w:r w:rsidRPr="00515AC2">
              <w:rPr>
                <w:b/>
                <w:bCs/>
                <w:sz w:val="14"/>
                <w:szCs w:val="14"/>
              </w:rPr>
              <w:t>Timer</w:t>
            </w:r>
          </w:p>
        </w:tc>
        <w:tc>
          <w:tcPr>
            <w:tcW w:w="2403" w:type="dxa"/>
          </w:tcPr>
          <w:p w14:paraId="0981FDEF" w14:textId="77777777" w:rsidR="00515AC2" w:rsidRPr="00515AC2" w:rsidRDefault="00515AC2" w:rsidP="00A573DC">
            <w:pPr>
              <w:rPr>
                <w:b/>
                <w:bCs/>
                <w:sz w:val="14"/>
                <w:szCs w:val="14"/>
              </w:rPr>
            </w:pPr>
            <w:r w:rsidRPr="00515AC2">
              <w:rPr>
                <w:b/>
                <w:bCs/>
                <w:sz w:val="14"/>
                <w:szCs w:val="14"/>
              </w:rPr>
              <w:t>Start</w:t>
            </w:r>
          </w:p>
        </w:tc>
        <w:tc>
          <w:tcPr>
            <w:tcW w:w="2403" w:type="dxa"/>
          </w:tcPr>
          <w:p w14:paraId="5AF77E9B" w14:textId="77777777" w:rsidR="00515AC2" w:rsidRPr="00515AC2" w:rsidRDefault="00515AC2" w:rsidP="00A573DC">
            <w:pPr>
              <w:rPr>
                <w:b/>
                <w:bCs/>
                <w:sz w:val="14"/>
                <w:szCs w:val="14"/>
              </w:rPr>
            </w:pPr>
            <w:r w:rsidRPr="00515AC2">
              <w:rPr>
                <w:b/>
                <w:bCs/>
                <w:sz w:val="14"/>
                <w:szCs w:val="14"/>
              </w:rPr>
              <w:t>Stop</w:t>
            </w:r>
          </w:p>
        </w:tc>
        <w:tc>
          <w:tcPr>
            <w:tcW w:w="2404" w:type="dxa"/>
          </w:tcPr>
          <w:p w14:paraId="63C0F6C5" w14:textId="77777777" w:rsidR="00515AC2" w:rsidRPr="00515AC2" w:rsidRDefault="00515AC2" w:rsidP="00A573DC">
            <w:pPr>
              <w:rPr>
                <w:b/>
                <w:bCs/>
                <w:sz w:val="14"/>
                <w:szCs w:val="14"/>
              </w:rPr>
            </w:pPr>
            <w:r w:rsidRPr="00515AC2">
              <w:rPr>
                <w:b/>
                <w:bCs/>
                <w:sz w:val="14"/>
                <w:szCs w:val="14"/>
              </w:rPr>
              <w:t>At expiry</w:t>
            </w:r>
          </w:p>
        </w:tc>
      </w:tr>
      <w:tr w:rsidR="00515AC2" w:rsidRPr="00515AC2" w14:paraId="648F45EE" w14:textId="77777777" w:rsidTr="00A573DC">
        <w:tc>
          <w:tcPr>
            <w:tcW w:w="2403" w:type="dxa"/>
          </w:tcPr>
          <w:p w14:paraId="16B9E4F2" w14:textId="77777777" w:rsidR="00515AC2" w:rsidRPr="00515AC2" w:rsidRDefault="00515AC2" w:rsidP="00A573DC">
            <w:pPr>
              <w:rPr>
                <w:sz w:val="14"/>
                <w:szCs w:val="14"/>
              </w:rPr>
            </w:pPr>
            <w:r w:rsidRPr="00515AC2">
              <w:rPr>
                <w:sz w:val="14"/>
                <w:szCs w:val="14"/>
              </w:rPr>
              <w:t>T304</w:t>
            </w:r>
          </w:p>
        </w:tc>
        <w:tc>
          <w:tcPr>
            <w:tcW w:w="2403" w:type="dxa"/>
          </w:tcPr>
          <w:p w14:paraId="7490DBDF" w14:textId="77777777" w:rsidR="00515AC2" w:rsidRPr="00515AC2" w:rsidRDefault="00515AC2" w:rsidP="00A573DC">
            <w:pPr>
              <w:rPr>
                <w:sz w:val="14"/>
                <w:szCs w:val="14"/>
              </w:rPr>
            </w:pPr>
            <w:r w:rsidRPr="00515AC2">
              <w:rPr>
                <w:sz w:val="14"/>
                <w:szCs w:val="14"/>
              </w:rPr>
              <w:t xml:space="preserve">Upon reception of </w:t>
            </w:r>
            <w:r w:rsidRPr="00515AC2">
              <w:rPr>
                <w:i/>
                <w:sz w:val="14"/>
                <w:szCs w:val="14"/>
              </w:rPr>
              <w:t>RRCReconfiguration</w:t>
            </w:r>
            <w:r w:rsidRPr="00515AC2">
              <w:rPr>
                <w:sz w:val="14"/>
                <w:szCs w:val="14"/>
              </w:rPr>
              <w:t xml:space="preserve"> message including </w:t>
            </w:r>
            <w:r w:rsidRPr="00515AC2">
              <w:rPr>
                <w:i/>
                <w:sz w:val="14"/>
                <w:szCs w:val="14"/>
                <w:lang w:eastAsia="sv-SE"/>
              </w:rPr>
              <w:t>reconfigurationWithSync</w:t>
            </w:r>
            <w:r w:rsidRPr="00515AC2">
              <w:rPr>
                <w:sz w:val="14"/>
                <w:szCs w:val="14"/>
              </w:rPr>
              <w:t xml:space="preserve"> or upon conditional reconfiguration execution i.e. when applying a stored </w:t>
            </w:r>
            <w:r w:rsidRPr="00515AC2">
              <w:rPr>
                <w:i/>
                <w:sz w:val="14"/>
                <w:szCs w:val="14"/>
              </w:rPr>
              <w:t>RRCReconfiguration</w:t>
            </w:r>
            <w:r w:rsidRPr="00515AC2">
              <w:rPr>
                <w:sz w:val="14"/>
                <w:szCs w:val="14"/>
              </w:rPr>
              <w:t xml:space="preserve"> message including </w:t>
            </w:r>
            <w:r w:rsidRPr="00515AC2">
              <w:rPr>
                <w:i/>
                <w:sz w:val="14"/>
                <w:szCs w:val="14"/>
                <w:lang w:eastAsia="sv-SE"/>
              </w:rPr>
              <w:t>reconfigurationWithSync</w:t>
            </w:r>
            <w:r w:rsidRPr="00515AC2">
              <w:rPr>
                <w:iCs/>
                <w:sz w:val="14"/>
                <w:szCs w:val="14"/>
                <w:lang w:eastAsia="sv-SE"/>
              </w:rPr>
              <w:t>.</w:t>
            </w:r>
          </w:p>
        </w:tc>
        <w:tc>
          <w:tcPr>
            <w:tcW w:w="2403" w:type="dxa"/>
          </w:tcPr>
          <w:p w14:paraId="744FF08C" w14:textId="77777777" w:rsidR="00515AC2" w:rsidRPr="00515AC2" w:rsidRDefault="00515AC2" w:rsidP="00A573DC">
            <w:pPr>
              <w:pStyle w:val="TAL"/>
              <w:rPr>
                <w:sz w:val="14"/>
                <w:szCs w:val="14"/>
              </w:rPr>
            </w:pPr>
            <w:r w:rsidRPr="00515AC2">
              <w:rPr>
                <w:sz w:val="14"/>
                <w:szCs w:val="14"/>
              </w:rPr>
              <w:t>Upon successful completion of random access on the corresponding SpCell</w:t>
            </w:r>
          </w:p>
          <w:p w14:paraId="39CC127C" w14:textId="77777777" w:rsidR="00515AC2" w:rsidRPr="00515AC2" w:rsidRDefault="00515AC2" w:rsidP="00A573DC">
            <w:pPr>
              <w:rPr>
                <w:sz w:val="14"/>
                <w:szCs w:val="14"/>
              </w:rPr>
            </w:pPr>
            <w:r w:rsidRPr="00515AC2">
              <w:rPr>
                <w:sz w:val="14"/>
                <w:szCs w:val="14"/>
              </w:rPr>
              <w:t xml:space="preserve">For T304 of SCG, </w:t>
            </w:r>
            <w:r w:rsidRPr="00515AC2">
              <w:rPr>
                <w:rFonts w:eastAsia="宋体"/>
                <w:sz w:val="14"/>
                <w:szCs w:val="14"/>
                <w:lang w:eastAsia="zh-CN"/>
              </w:rPr>
              <w:t>upon SCG release</w:t>
            </w:r>
          </w:p>
        </w:tc>
        <w:tc>
          <w:tcPr>
            <w:tcW w:w="2404" w:type="dxa"/>
          </w:tcPr>
          <w:p w14:paraId="64EE00FA" w14:textId="77777777" w:rsidR="00515AC2" w:rsidRPr="00515AC2" w:rsidRDefault="00515AC2" w:rsidP="00A573DC">
            <w:pPr>
              <w:pStyle w:val="TAL"/>
              <w:rPr>
                <w:sz w:val="14"/>
                <w:szCs w:val="14"/>
              </w:rPr>
            </w:pPr>
            <w:r w:rsidRPr="00515AC2">
              <w:rPr>
                <w:sz w:val="14"/>
                <w:szCs w:val="14"/>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19A8602C" w14:textId="77777777" w:rsidR="00515AC2" w:rsidRPr="00515AC2" w:rsidRDefault="00515AC2" w:rsidP="00A573DC">
            <w:pPr>
              <w:pStyle w:val="TAL"/>
              <w:rPr>
                <w:sz w:val="14"/>
                <w:szCs w:val="14"/>
              </w:rPr>
            </w:pPr>
          </w:p>
          <w:p w14:paraId="6B7E3A4B" w14:textId="77777777" w:rsidR="00515AC2" w:rsidRPr="00515AC2" w:rsidRDefault="00515AC2" w:rsidP="00A573DC">
            <w:pPr>
              <w:rPr>
                <w:sz w:val="14"/>
                <w:szCs w:val="14"/>
              </w:rPr>
            </w:pPr>
            <w:r w:rsidRPr="00515AC2">
              <w:rPr>
                <w:sz w:val="14"/>
                <w:szCs w:val="14"/>
              </w:rPr>
              <w:t xml:space="preserve">For T304 of SCG, inform network about the reconfiguration with sync failure by initiating the SCG failure </w:t>
            </w:r>
            <w:r w:rsidRPr="00515AC2">
              <w:rPr>
                <w:sz w:val="14"/>
                <w:szCs w:val="14"/>
              </w:rPr>
              <w:lastRenderedPageBreak/>
              <w:t>information procedure as specified in 5.7.3</w:t>
            </w:r>
            <w:r w:rsidRPr="00515AC2">
              <w:rPr>
                <w:sz w:val="14"/>
                <w:szCs w:val="14"/>
                <w:lang w:eastAsia="zh-CN"/>
              </w:rPr>
              <w:t>.</w:t>
            </w:r>
          </w:p>
        </w:tc>
      </w:tr>
    </w:tbl>
    <w:p w14:paraId="74BAA3E4" w14:textId="7C671E97" w:rsidR="00515AC2" w:rsidRDefault="00515AC2" w:rsidP="000720F2"/>
    <w:p w14:paraId="1B0D924D" w14:textId="698516CA" w:rsidR="00515AC2" w:rsidRPr="00515AC2" w:rsidRDefault="00DF4442" w:rsidP="00DF4442">
      <w:pPr>
        <w:pStyle w:val="Proposal"/>
      </w:pPr>
      <w:bookmarkStart w:id="9" w:name="_Toc78895518"/>
      <w:r>
        <w:t xml:space="preserve">If proposal </w:t>
      </w:r>
      <w:r w:rsidR="00113A72">
        <w:t>5</w:t>
      </w:r>
      <w:r>
        <w:t xml:space="preserve"> is agreed, RAN2 discusses how to handle T304 upon PSCell change with SCG deactivated, e.g., does not start T304 or ignore the T304 expiry in this case.</w:t>
      </w:r>
      <w:bookmarkEnd w:id="9"/>
    </w:p>
    <w:p w14:paraId="33384261" w14:textId="29AA1C73" w:rsidR="00AB0317" w:rsidRDefault="009F7357" w:rsidP="00AB0317">
      <w:pPr>
        <w:pStyle w:val="2"/>
      </w:pPr>
      <w:r>
        <w:t>2.</w:t>
      </w:r>
      <w:r w:rsidR="000720F2">
        <w:t>3</w:t>
      </w:r>
      <w:r>
        <w:tab/>
      </w:r>
      <w:r w:rsidR="002B6BC3">
        <w:t>On</w:t>
      </w:r>
      <w:r w:rsidR="00AB0317">
        <w:t xml:space="preserve"> PUCCH transmission</w:t>
      </w:r>
    </w:p>
    <w:p w14:paraId="139B37CB" w14:textId="332AF5EA" w:rsidR="00AB0317" w:rsidRDefault="00AB0317" w:rsidP="00AB0317">
      <w:r>
        <w:t>In the last RAN2#1</w:t>
      </w:r>
      <w:r w:rsidR="00640CD9">
        <w:t>1</w:t>
      </w:r>
      <w:r>
        <w:t>3 meeting, the following agreement was made</w:t>
      </w:r>
    </w:p>
    <w:tbl>
      <w:tblPr>
        <w:tblStyle w:val="afa"/>
        <w:tblW w:w="0" w:type="auto"/>
        <w:tblLook w:val="04A0" w:firstRow="1" w:lastRow="0" w:firstColumn="1" w:lastColumn="0" w:noHBand="0" w:noVBand="1"/>
      </w:tblPr>
      <w:tblGrid>
        <w:gridCol w:w="9855"/>
      </w:tblGrid>
      <w:tr w:rsidR="00AB0317" w14:paraId="4002ED94" w14:textId="77777777" w:rsidTr="00AB0317">
        <w:tc>
          <w:tcPr>
            <w:tcW w:w="9855" w:type="dxa"/>
          </w:tcPr>
          <w:p w14:paraId="1AE4A741" w14:textId="68C70684" w:rsidR="00AB0317" w:rsidRDefault="00AB0317" w:rsidP="00AB0317">
            <w:r w:rsidRPr="00AB0317">
              <w:rPr>
                <w:highlight w:val="green"/>
              </w:rPr>
              <w:t>Agreements</w:t>
            </w:r>
          </w:p>
          <w:p w14:paraId="712F55FE" w14:textId="41819741" w:rsidR="00AB0317" w:rsidRDefault="00AB0317" w:rsidP="00AB0317">
            <w:r>
              <w:t xml:space="preserve">Confirm that there is no PUSCH transmission on deactivated SCG. </w:t>
            </w:r>
            <w:r w:rsidRPr="00AB0317">
              <w:rPr>
                <w:highlight w:val="yellow"/>
              </w:rPr>
              <w:t>FFS if any other UL  is allowed towards SCG.</w:t>
            </w:r>
          </w:p>
        </w:tc>
      </w:tr>
    </w:tbl>
    <w:p w14:paraId="6DAEE27B" w14:textId="59CB36CC" w:rsidR="00AB0317" w:rsidRDefault="00AB0317" w:rsidP="00AB0317"/>
    <w:p w14:paraId="640213D6" w14:textId="4C2FA8E2" w:rsidR="001C0541" w:rsidRDefault="001C0541" w:rsidP="00AB0317">
      <w:r>
        <w:t xml:space="preserve">It is clear that when SCG is deactivated, </w:t>
      </w:r>
      <w:r w:rsidR="003651FB">
        <w:t xml:space="preserve">UE shall not transmit any data packet via PUSCH. </w:t>
      </w:r>
      <w:r w:rsidR="00D101CC">
        <w:t xml:space="preserve">Some companies believe it could be beneficial to allow PUCCH transmission in uplink for CSI report. </w:t>
      </w:r>
      <w:r w:rsidR="00A20E85">
        <w:t xml:space="preserve">Then, when SCG becomes activated again, </w:t>
      </w:r>
      <w:r w:rsidR="00D403F8">
        <w:t xml:space="preserve">gNB can be aware of the </w:t>
      </w:r>
      <w:r w:rsidR="00446E63">
        <w:t>current channel condition</w:t>
      </w:r>
      <w:r w:rsidR="009F236E">
        <w:t xml:space="preserve">. </w:t>
      </w:r>
      <w:r w:rsidR="004D2436">
        <w:t xml:space="preserve">However, we understand CSI report is mainly for link </w:t>
      </w:r>
      <w:r w:rsidR="00584ECB">
        <w:t>adaptation,</w:t>
      </w:r>
      <w:r w:rsidR="004D2436">
        <w:t xml:space="preserve"> which </w:t>
      </w:r>
      <w:r w:rsidR="00D73C4E">
        <w:t>is time sensitive</w:t>
      </w:r>
      <w:r w:rsidR="008726FD">
        <w:t xml:space="preserve">, we are not sure if only supporting </w:t>
      </w:r>
      <w:r w:rsidR="00685788">
        <w:t xml:space="preserve">periodic </w:t>
      </w:r>
      <w:r w:rsidR="008726FD">
        <w:t>CSI report via PUCCH</w:t>
      </w:r>
      <w:r w:rsidR="00406D4E">
        <w:t xml:space="preserve"> </w:t>
      </w:r>
      <w:r w:rsidR="009440C4">
        <w:t>can really help</w:t>
      </w:r>
      <w:r w:rsidR="00797DF6">
        <w:t xml:space="preserve"> here. </w:t>
      </w:r>
      <w:r w:rsidR="0009749D">
        <w:t xml:space="preserve">It could be the case </w:t>
      </w:r>
      <w:r w:rsidR="00506065">
        <w:t xml:space="preserve">that when SCG is deactivated, the last received CSI report via PUCCH is already out-dated. </w:t>
      </w:r>
      <w:r w:rsidR="0009749D">
        <w:t xml:space="preserve"> </w:t>
      </w:r>
    </w:p>
    <w:p w14:paraId="65337E83" w14:textId="230EED44" w:rsidR="00584ECB" w:rsidRDefault="00584ECB" w:rsidP="00AB0317">
      <w:r>
        <w:t xml:space="preserve">Considering </w:t>
      </w:r>
      <w:r w:rsidR="005B4E23">
        <w:t xml:space="preserve">only </w:t>
      </w:r>
      <w:r w:rsidR="00B93DE9">
        <w:t>introducing</w:t>
      </w:r>
      <w:r w:rsidR="005B4E23">
        <w:t xml:space="preserve"> periodic</w:t>
      </w:r>
      <w:r w:rsidR="00B93DE9">
        <w:t xml:space="preserve"> CSI report </w:t>
      </w:r>
      <w:r w:rsidR="005B4E23">
        <w:t xml:space="preserve">via PUCCH </w:t>
      </w:r>
      <w:r w:rsidR="00B93DE9">
        <w:t xml:space="preserve">does not really ensure the </w:t>
      </w:r>
      <w:r w:rsidR="005B4E23">
        <w:t xml:space="preserve">timely channel estimation, and periodic CSI report under deactivated SCG will consume extra power, </w:t>
      </w:r>
      <w:r w:rsidR="00F34469">
        <w:t xml:space="preserve">RAN2 is suggested to not support CSI report under deactivated SCG. </w:t>
      </w:r>
    </w:p>
    <w:p w14:paraId="0EB10A98" w14:textId="28164A3B" w:rsidR="006219DB" w:rsidRDefault="00C93250" w:rsidP="006219DB">
      <w:pPr>
        <w:pStyle w:val="Proposal"/>
      </w:pPr>
      <w:bookmarkStart w:id="10" w:name="_Toc78895519"/>
      <w:r>
        <w:t>RAN2 is suggested to not support CSI report under deactivated SCG.</w:t>
      </w:r>
      <w:bookmarkEnd w:id="10"/>
    </w:p>
    <w:p w14:paraId="7A2A7539" w14:textId="6DFC0984" w:rsidR="00C93250" w:rsidRDefault="00C93250" w:rsidP="006219DB">
      <w:pPr>
        <w:pStyle w:val="Proposal"/>
      </w:pPr>
      <w:bookmarkStart w:id="11" w:name="_Toc78895520"/>
      <w:r>
        <w:t>RAN2 does not support uplink transmission via PUCCH in deactivated SCG.</w:t>
      </w:r>
      <w:bookmarkEnd w:id="11"/>
    </w:p>
    <w:p w14:paraId="03CB4C3C" w14:textId="6FAC5603" w:rsidR="00AB0317" w:rsidRDefault="00AB0317" w:rsidP="00AB0317"/>
    <w:p w14:paraId="4842007F" w14:textId="1A6F7E79" w:rsidR="00EF493A" w:rsidRDefault="008A2788" w:rsidP="00EF493A">
      <w:pPr>
        <w:pStyle w:val="2"/>
        <w:rPr>
          <w:rFonts w:eastAsiaTheme="minorEastAsia"/>
        </w:rPr>
      </w:pPr>
      <w:r>
        <w:t>2.</w:t>
      </w:r>
      <w:r w:rsidR="000720F2">
        <w:t>4</w:t>
      </w:r>
      <w:r>
        <w:tab/>
      </w:r>
      <w:r w:rsidR="003C5E8B" w:rsidRPr="003C5E8B">
        <w:rPr>
          <w:rFonts w:eastAsiaTheme="minorEastAsia"/>
          <w:lang w:val="sv-SE"/>
        </w:rPr>
        <w:t xml:space="preserve"> </w:t>
      </w:r>
      <w:r w:rsidR="00EF493A">
        <w:rPr>
          <w:rFonts w:eastAsiaTheme="minorEastAsia"/>
        </w:rPr>
        <w:t>MCG transmit power upon SCG deactivation</w:t>
      </w:r>
    </w:p>
    <w:p w14:paraId="2719E7E6" w14:textId="77777777" w:rsidR="00EF493A" w:rsidRDefault="00EF493A" w:rsidP="00EF493A">
      <w:pPr>
        <w:rPr>
          <w:noProof/>
          <w:lang w:eastAsia="ko-KR"/>
        </w:rPr>
      </w:pPr>
      <w:r>
        <w:rPr>
          <w:rFonts w:eastAsiaTheme="minorEastAsia"/>
        </w:rPr>
        <w:t xml:space="preserve">When SCG is deactivated, from UE perspective, that also means more power can be used for MCG uplink transmission. UE can by default use the </w:t>
      </w:r>
      <w:r>
        <w:rPr>
          <w:noProof/>
          <w:lang w:eastAsia="ko-KR"/>
        </w:rPr>
        <w:t xml:space="preserve">nominal UE maximum transmit power as the maximum tranmit power for MCG transmisison when SCG is deactivated. Or, transmission via MCG is still constrained by the MCG maximum transmit power allowed unless reconfigured by NW. </w:t>
      </w:r>
    </w:p>
    <w:p w14:paraId="6F8E0645" w14:textId="70981E26" w:rsidR="00F22D35" w:rsidRPr="00EC0A21" w:rsidRDefault="00EF493A" w:rsidP="00EC0A21">
      <w:pPr>
        <w:pStyle w:val="Proposal"/>
        <w:rPr>
          <w:rFonts w:eastAsiaTheme="minorEastAsia"/>
        </w:rPr>
      </w:pPr>
      <w:bookmarkStart w:id="12" w:name="_Toc68247731"/>
      <w:bookmarkStart w:id="13" w:name="_Toc78895521"/>
      <w:r>
        <w:rPr>
          <w:rFonts w:eastAsiaTheme="minorEastAsia"/>
        </w:rPr>
        <w:t>RAN2 discusses if MCG transmission is still constrained by the maximum transmit power for MCG upon SCG deactivation.</w:t>
      </w:r>
      <w:bookmarkEnd w:id="12"/>
      <w:bookmarkEnd w:id="13"/>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6E41F5CF" w14:textId="77777777" w:rsidR="00113A72" w:rsidRDefault="00D22C62">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78895513" w:history="1">
        <w:r w:rsidR="00113A72" w:rsidRPr="006967B9">
          <w:rPr>
            <w:rStyle w:val="af4"/>
            <w:noProof/>
          </w:rPr>
          <w:t>Proposal 1</w:t>
        </w:r>
        <w:r w:rsidR="00113A72">
          <w:rPr>
            <w:rFonts w:asciiTheme="minorHAnsi" w:eastAsiaTheme="minorEastAsia" w:hAnsiTheme="minorHAnsi" w:cstheme="minorBidi"/>
            <w:b w:val="0"/>
            <w:noProof/>
            <w:sz w:val="22"/>
            <w:szCs w:val="22"/>
            <w:lang w:val="en-US" w:eastAsia="zh-CN"/>
          </w:rPr>
          <w:tab/>
        </w:r>
        <w:r w:rsidR="00113A72" w:rsidRPr="006967B9">
          <w:rPr>
            <w:rStyle w:val="af4"/>
            <w:noProof/>
          </w:rPr>
          <w:t>Upon SCG deactivation, NW indicates to UE whether to perform beam monitoring, link monitoring and keep the relevant TAT continues running.</w:t>
        </w:r>
      </w:hyperlink>
    </w:p>
    <w:p w14:paraId="737FFEC2" w14:textId="77777777" w:rsidR="00113A72" w:rsidRDefault="00427F4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5514" w:history="1">
        <w:r w:rsidR="00113A72" w:rsidRPr="006967B9">
          <w:rPr>
            <w:rStyle w:val="af4"/>
            <w:noProof/>
          </w:rPr>
          <w:t>Proposal 2</w:t>
        </w:r>
        <w:r w:rsidR="00113A72">
          <w:rPr>
            <w:rFonts w:asciiTheme="minorHAnsi" w:eastAsiaTheme="minorEastAsia" w:hAnsiTheme="minorHAnsi" w:cstheme="minorBidi"/>
            <w:b w:val="0"/>
            <w:noProof/>
            <w:sz w:val="22"/>
            <w:szCs w:val="22"/>
            <w:lang w:val="en-US" w:eastAsia="zh-CN"/>
          </w:rPr>
          <w:tab/>
        </w:r>
        <w:r w:rsidR="00113A72" w:rsidRPr="006967B9">
          <w:rPr>
            <w:rStyle w:val="af4"/>
            <w:noProof/>
          </w:rPr>
          <w:t>When SCG is deactivated and upon TAT expiry, UE stops beam monitoring and link monitoring.</w:t>
        </w:r>
      </w:hyperlink>
    </w:p>
    <w:p w14:paraId="105D3C5C" w14:textId="77777777" w:rsidR="00113A72" w:rsidRDefault="00427F4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5515" w:history="1">
        <w:r w:rsidR="00113A72" w:rsidRPr="006967B9">
          <w:rPr>
            <w:rStyle w:val="af4"/>
            <w:noProof/>
          </w:rPr>
          <w:t>Proposal 3</w:t>
        </w:r>
        <w:r w:rsidR="00113A72">
          <w:rPr>
            <w:rFonts w:asciiTheme="minorHAnsi" w:eastAsiaTheme="minorEastAsia" w:hAnsiTheme="minorHAnsi" w:cstheme="minorBidi"/>
            <w:b w:val="0"/>
            <w:noProof/>
            <w:sz w:val="22"/>
            <w:szCs w:val="22"/>
            <w:lang w:val="en-US" w:eastAsia="zh-CN"/>
          </w:rPr>
          <w:tab/>
        </w:r>
        <w:r w:rsidR="00113A72" w:rsidRPr="006967B9">
          <w:rPr>
            <w:rStyle w:val="af4"/>
            <w:noProof/>
          </w:rPr>
          <w:t>When SCG is deactivated and upon BFD, UE stops the relevant TAT and radio link monitoring.</w:t>
        </w:r>
      </w:hyperlink>
    </w:p>
    <w:p w14:paraId="63E14DD7" w14:textId="77777777" w:rsidR="00113A72" w:rsidRDefault="00427F4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5516" w:history="1">
        <w:r w:rsidR="00113A72" w:rsidRPr="006967B9">
          <w:rPr>
            <w:rStyle w:val="af4"/>
            <w:noProof/>
          </w:rPr>
          <w:t>Proposal 4</w:t>
        </w:r>
        <w:r w:rsidR="00113A72">
          <w:rPr>
            <w:rFonts w:asciiTheme="minorHAnsi" w:eastAsiaTheme="minorEastAsia" w:hAnsiTheme="minorHAnsi" w:cstheme="minorBidi"/>
            <w:b w:val="0"/>
            <w:noProof/>
            <w:sz w:val="22"/>
            <w:szCs w:val="22"/>
            <w:lang w:val="en-US" w:eastAsia="zh-CN"/>
          </w:rPr>
          <w:tab/>
        </w:r>
        <w:r w:rsidR="00113A72" w:rsidRPr="006967B9">
          <w:rPr>
            <w:rStyle w:val="af4"/>
            <w:noProof/>
          </w:rPr>
          <w:t>When SCG is deactivated and upon RLF, UE stops the relevant TAT and beam monitoring.</w:t>
        </w:r>
      </w:hyperlink>
    </w:p>
    <w:p w14:paraId="557428B1" w14:textId="77777777" w:rsidR="00113A72" w:rsidRDefault="00427F4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5517" w:history="1">
        <w:r w:rsidR="00113A72" w:rsidRPr="006967B9">
          <w:rPr>
            <w:rStyle w:val="af4"/>
            <w:noProof/>
            <w:lang w:val="en-US"/>
          </w:rPr>
          <w:t>Proposal 5</w:t>
        </w:r>
        <w:r w:rsidR="00113A72">
          <w:rPr>
            <w:rFonts w:asciiTheme="minorHAnsi" w:eastAsiaTheme="minorEastAsia" w:hAnsiTheme="minorHAnsi" w:cstheme="minorBidi"/>
            <w:b w:val="0"/>
            <w:noProof/>
            <w:sz w:val="22"/>
            <w:szCs w:val="22"/>
            <w:lang w:val="en-US" w:eastAsia="zh-CN"/>
          </w:rPr>
          <w:tab/>
        </w:r>
        <w:r w:rsidR="00113A72" w:rsidRPr="006967B9">
          <w:rPr>
            <w:rStyle w:val="af4"/>
            <w:noProof/>
            <w:lang w:val="en-US"/>
          </w:rPr>
          <w:t>UE does not perform RACH towards the target PSCell if the associated SCG is deactivated.</w:t>
        </w:r>
      </w:hyperlink>
    </w:p>
    <w:p w14:paraId="6449E43E" w14:textId="77777777" w:rsidR="00113A72" w:rsidRDefault="00427F4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5518" w:history="1">
        <w:r w:rsidR="00113A72" w:rsidRPr="006967B9">
          <w:rPr>
            <w:rStyle w:val="af4"/>
            <w:noProof/>
          </w:rPr>
          <w:t>Proposal 6</w:t>
        </w:r>
        <w:r w:rsidR="00113A72">
          <w:rPr>
            <w:rFonts w:asciiTheme="minorHAnsi" w:eastAsiaTheme="minorEastAsia" w:hAnsiTheme="minorHAnsi" w:cstheme="minorBidi"/>
            <w:b w:val="0"/>
            <w:noProof/>
            <w:sz w:val="22"/>
            <w:szCs w:val="22"/>
            <w:lang w:val="en-US" w:eastAsia="zh-CN"/>
          </w:rPr>
          <w:tab/>
        </w:r>
        <w:r w:rsidR="00113A72" w:rsidRPr="006967B9">
          <w:rPr>
            <w:rStyle w:val="af4"/>
            <w:noProof/>
          </w:rPr>
          <w:t>If proposal 5 is agreed, RAN2 discusses how to handle T304 upon PSCell change with SCG deactivated, e.g., does not start T304 or ignore the T304 expiry in this case.</w:t>
        </w:r>
      </w:hyperlink>
    </w:p>
    <w:p w14:paraId="01C6057B" w14:textId="77777777" w:rsidR="00113A72" w:rsidRDefault="00427F4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5519" w:history="1">
        <w:r w:rsidR="00113A72" w:rsidRPr="006967B9">
          <w:rPr>
            <w:rStyle w:val="af4"/>
            <w:noProof/>
          </w:rPr>
          <w:t>Proposal 7</w:t>
        </w:r>
        <w:r w:rsidR="00113A72">
          <w:rPr>
            <w:rFonts w:asciiTheme="minorHAnsi" w:eastAsiaTheme="minorEastAsia" w:hAnsiTheme="minorHAnsi" w:cstheme="minorBidi"/>
            <w:b w:val="0"/>
            <w:noProof/>
            <w:sz w:val="22"/>
            <w:szCs w:val="22"/>
            <w:lang w:val="en-US" w:eastAsia="zh-CN"/>
          </w:rPr>
          <w:tab/>
        </w:r>
        <w:r w:rsidR="00113A72" w:rsidRPr="006967B9">
          <w:rPr>
            <w:rStyle w:val="af4"/>
            <w:noProof/>
          </w:rPr>
          <w:t>RAN2 is suggested to not support CSI report under deactivated SCG.</w:t>
        </w:r>
      </w:hyperlink>
    </w:p>
    <w:p w14:paraId="24CCE2D4" w14:textId="77777777" w:rsidR="00113A72" w:rsidRDefault="00427F4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5520" w:history="1">
        <w:r w:rsidR="00113A72" w:rsidRPr="006967B9">
          <w:rPr>
            <w:rStyle w:val="af4"/>
            <w:noProof/>
          </w:rPr>
          <w:t>Proposal 8</w:t>
        </w:r>
        <w:r w:rsidR="00113A72">
          <w:rPr>
            <w:rFonts w:asciiTheme="minorHAnsi" w:eastAsiaTheme="minorEastAsia" w:hAnsiTheme="minorHAnsi" w:cstheme="minorBidi"/>
            <w:b w:val="0"/>
            <w:noProof/>
            <w:sz w:val="22"/>
            <w:szCs w:val="22"/>
            <w:lang w:val="en-US" w:eastAsia="zh-CN"/>
          </w:rPr>
          <w:tab/>
        </w:r>
        <w:r w:rsidR="00113A72" w:rsidRPr="006967B9">
          <w:rPr>
            <w:rStyle w:val="af4"/>
            <w:noProof/>
          </w:rPr>
          <w:t>RAN2 does not support uplink transmission via PUCCH in deactivated SCG.</w:t>
        </w:r>
      </w:hyperlink>
    </w:p>
    <w:p w14:paraId="632699C3" w14:textId="77777777" w:rsidR="00113A72" w:rsidRDefault="00427F4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5521" w:history="1">
        <w:r w:rsidR="00113A72" w:rsidRPr="006967B9">
          <w:rPr>
            <w:rStyle w:val="af4"/>
            <w:noProof/>
          </w:rPr>
          <w:t>Proposal 9</w:t>
        </w:r>
        <w:r w:rsidR="00113A72">
          <w:rPr>
            <w:rFonts w:asciiTheme="minorHAnsi" w:eastAsiaTheme="minorEastAsia" w:hAnsiTheme="minorHAnsi" w:cstheme="minorBidi"/>
            <w:b w:val="0"/>
            <w:noProof/>
            <w:sz w:val="22"/>
            <w:szCs w:val="22"/>
            <w:lang w:val="en-US" w:eastAsia="zh-CN"/>
          </w:rPr>
          <w:tab/>
        </w:r>
        <w:r w:rsidR="00113A72" w:rsidRPr="006967B9">
          <w:rPr>
            <w:rStyle w:val="af4"/>
            <w:noProof/>
          </w:rPr>
          <w:t>RAN2 discusses if MCG transmission is still constrained by the maximum transmit power for MCG upon SCG deactivation.</w:t>
        </w:r>
      </w:hyperlink>
    </w:p>
    <w:p w14:paraId="5AE5A7E7" w14:textId="41AE0872" w:rsidR="00113A72" w:rsidRDefault="00113A72">
      <w:pPr>
        <w:pStyle w:val="aff"/>
        <w:tabs>
          <w:tab w:val="right" w:leader="dot" w:pos="9855"/>
        </w:tabs>
        <w:rPr>
          <w:rFonts w:asciiTheme="minorHAnsi" w:eastAsiaTheme="minorEastAsia" w:hAnsiTheme="minorHAnsi" w:cstheme="minorBidi"/>
          <w:b w:val="0"/>
          <w:noProof/>
          <w:sz w:val="22"/>
          <w:szCs w:val="22"/>
          <w:lang w:val="en-US" w:eastAsia="zh-CN"/>
        </w:rPr>
      </w:pPr>
    </w:p>
    <w:p w14:paraId="433300D9" w14:textId="37672F7F"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71D0CE7" w14:textId="01B551EC" w:rsidR="001B27A9" w:rsidRDefault="009E7168" w:rsidP="009E7168">
      <w:pPr>
        <w:pStyle w:val="1"/>
        <w:rPr>
          <w:rFonts w:eastAsiaTheme="minorEastAsia"/>
          <w:shd w:val="clear" w:color="auto" w:fill="FFFFFF"/>
        </w:rPr>
      </w:pPr>
      <w:r>
        <w:rPr>
          <w:rFonts w:eastAsiaTheme="minorEastAsia"/>
          <w:shd w:val="clear" w:color="auto" w:fill="FFFFFF"/>
        </w:rPr>
        <w:t>References</w:t>
      </w:r>
    </w:p>
    <w:p w14:paraId="2ECFAE12" w14:textId="1A3B0B15" w:rsidR="009E7168" w:rsidRPr="009E7168" w:rsidRDefault="009E7168" w:rsidP="009E7168">
      <w:pPr>
        <w:rPr>
          <w:rFonts w:eastAsiaTheme="minorEastAsia"/>
        </w:rPr>
      </w:pPr>
    </w:p>
    <w:sectPr w:rsidR="009E7168"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DFA9D" w14:textId="77777777" w:rsidR="0053216B" w:rsidRDefault="0053216B">
      <w:pPr>
        <w:spacing w:after="0"/>
      </w:pPr>
      <w:r>
        <w:separator/>
      </w:r>
    </w:p>
  </w:endnote>
  <w:endnote w:type="continuationSeparator" w:id="0">
    <w:p w14:paraId="5E50783E" w14:textId="77777777" w:rsidR="0053216B" w:rsidRDefault="00532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17AA9" w14:textId="77777777" w:rsidR="0053216B" w:rsidRDefault="0053216B">
      <w:pPr>
        <w:spacing w:after="0"/>
      </w:pPr>
      <w:r>
        <w:separator/>
      </w:r>
    </w:p>
  </w:footnote>
  <w:footnote w:type="continuationSeparator" w:id="0">
    <w:p w14:paraId="44C530A8" w14:textId="77777777" w:rsidR="0053216B" w:rsidRDefault="005321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047D2"/>
    <w:multiLevelType w:val="hybridMultilevel"/>
    <w:tmpl w:val="4D94843C"/>
    <w:lvl w:ilvl="0" w:tplc="D2EE7D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9"/>
  </w:num>
  <w:num w:numId="4">
    <w:abstractNumId w:val="1"/>
  </w:num>
  <w:num w:numId="5">
    <w:abstractNumId w:val="7"/>
  </w:num>
  <w:num w:numId="6">
    <w:abstractNumId w:val="2"/>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7"/>
  </w:num>
  <w:num w:numId="30">
    <w:abstractNumId w:val="7"/>
  </w:num>
  <w:num w:numId="31">
    <w:abstractNumId w:val="10"/>
  </w:num>
  <w:num w:numId="32">
    <w:abstractNumId w:val="7"/>
  </w:num>
  <w:num w:numId="33">
    <w:abstractNumId w:val="7"/>
  </w:num>
  <w:num w:numId="34">
    <w:abstractNumId w:val="7"/>
  </w:num>
  <w:num w:numId="35">
    <w:abstractNumId w:val="3"/>
  </w:num>
  <w:num w:numId="36">
    <w:abstractNumId w:val="7"/>
  </w:num>
  <w:num w:numId="37">
    <w:abstractNumId w:val="7"/>
  </w:num>
  <w:num w:numId="38">
    <w:abstractNumId w:val="7"/>
    <w:lvlOverride w:ilvl="0">
      <w:startOverride w:val="1"/>
    </w:lvlOverride>
  </w:num>
  <w:num w:numId="39">
    <w:abstractNumId w:val="11"/>
  </w:num>
  <w:num w:numId="40">
    <w:abstractNumId w:val="4"/>
  </w:num>
  <w:num w:numId="41">
    <w:abstractNumId w:val="17"/>
  </w:num>
  <w:num w:numId="42">
    <w:abstractNumId w:val="0"/>
  </w:num>
  <w:num w:numId="43">
    <w:abstractNumId w:val="16"/>
  </w:num>
  <w:num w:numId="44">
    <w:abstractNumId w:val="7"/>
  </w:num>
  <w:num w:numId="45">
    <w:abstractNumId w:val="14"/>
  </w:num>
  <w:num w:numId="4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3A27"/>
    <w:rsid w:val="0001447C"/>
    <w:rsid w:val="000152BF"/>
    <w:rsid w:val="00015471"/>
    <w:rsid w:val="00015561"/>
    <w:rsid w:val="00016F2D"/>
    <w:rsid w:val="00017F23"/>
    <w:rsid w:val="00023E1B"/>
    <w:rsid w:val="00025166"/>
    <w:rsid w:val="000252A3"/>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2F79"/>
    <w:rsid w:val="00064369"/>
    <w:rsid w:val="00064C86"/>
    <w:rsid w:val="000660B9"/>
    <w:rsid w:val="00066263"/>
    <w:rsid w:val="00066282"/>
    <w:rsid w:val="0006710A"/>
    <w:rsid w:val="000720F2"/>
    <w:rsid w:val="0007222A"/>
    <w:rsid w:val="00073385"/>
    <w:rsid w:val="00076341"/>
    <w:rsid w:val="00077485"/>
    <w:rsid w:val="00077829"/>
    <w:rsid w:val="000812F5"/>
    <w:rsid w:val="0008191B"/>
    <w:rsid w:val="00081CE6"/>
    <w:rsid w:val="0008470A"/>
    <w:rsid w:val="00084976"/>
    <w:rsid w:val="00084A1A"/>
    <w:rsid w:val="0008704B"/>
    <w:rsid w:val="00087095"/>
    <w:rsid w:val="00090F1D"/>
    <w:rsid w:val="000933D3"/>
    <w:rsid w:val="0009483B"/>
    <w:rsid w:val="000957C6"/>
    <w:rsid w:val="00095F23"/>
    <w:rsid w:val="00096F96"/>
    <w:rsid w:val="0009749D"/>
    <w:rsid w:val="00097AFE"/>
    <w:rsid w:val="000A15E0"/>
    <w:rsid w:val="000A265D"/>
    <w:rsid w:val="000A31C9"/>
    <w:rsid w:val="000A4924"/>
    <w:rsid w:val="000A52FF"/>
    <w:rsid w:val="000B0645"/>
    <w:rsid w:val="000B13AB"/>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469"/>
    <w:rsid w:val="000F3001"/>
    <w:rsid w:val="000F433E"/>
    <w:rsid w:val="000F5AFA"/>
    <w:rsid w:val="000F6242"/>
    <w:rsid w:val="000F6D53"/>
    <w:rsid w:val="00100365"/>
    <w:rsid w:val="00101F18"/>
    <w:rsid w:val="00102032"/>
    <w:rsid w:val="001029FB"/>
    <w:rsid w:val="00102A76"/>
    <w:rsid w:val="001033B4"/>
    <w:rsid w:val="00103C06"/>
    <w:rsid w:val="00104FF1"/>
    <w:rsid w:val="001053B7"/>
    <w:rsid w:val="001061B5"/>
    <w:rsid w:val="0011026A"/>
    <w:rsid w:val="00113A72"/>
    <w:rsid w:val="00114E93"/>
    <w:rsid w:val="00115FF7"/>
    <w:rsid w:val="00117793"/>
    <w:rsid w:val="00117BBA"/>
    <w:rsid w:val="00120199"/>
    <w:rsid w:val="00121A6D"/>
    <w:rsid w:val="001231C3"/>
    <w:rsid w:val="00123FF4"/>
    <w:rsid w:val="0012475A"/>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50518"/>
    <w:rsid w:val="001524A5"/>
    <w:rsid w:val="00152623"/>
    <w:rsid w:val="00154EFB"/>
    <w:rsid w:val="00160B27"/>
    <w:rsid w:val="00161397"/>
    <w:rsid w:val="00161550"/>
    <w:rsid w:val="00161886"/>
    <w:rsid w:val="00161CB4"/>
    <w:rsid w:val="001630DF"/>
    <w:rsid w:val="00163EF4"/>
    <w:rsid w:val="00166A57"/>
    <w:rsid w:val="0017021F"/>
    <w:rsid w:val="00170416"/>
    <w:rsid w:val="001714C1"/>
    <w:rsid w:val="00171E9E"/>
    <w:rsid w:val="0017327A"/>
    <w:rsid w:val="001751D0"/>
    <w:rsid w:val="0018004F"/>
    <w:rsid w:val="00180BE7"/>
    <w:rsid w:val="00180C77"/>
    <w:rsid w:val="00180E67"/>
    <w:rsid w:val="0018157F"/>
    <w:rsid w:val="001826EF"/>
    <w:rsid w:val="00182C64"/>
    <w:rsid w:val="001835AC"/>
    <w:rsid w:val="001835CB"/>
    <w:rsid w:val="001837D6"/>
    <w:rsid w:val="00183C1A"/>
    <w:rsid w:val="00184D79"/>
    <w:rsid w:val="00185C8F"/>
    <w:rsid w:val="001863B7"/>
    <w:rsid w:val="00186F5C"/>
    <w:rsid w:val="00191BCF"/>
    <w:rsid w:val="00194427"/>
    <w:rsid w:val="001959BB"/>
    <w:rsid w:val="00195C08"/>
    <w:rsid w:val="001A0EAC"/>
    <w:rsid w:val="001A2A59"/>
    <w:rsid w:val="001A4232"/>
    <w:rsid w:val="001A6B09"/>
    <w:rsid w:val="001A77C1"/>
    <w:rsid w:val="001A7893"/>
    <w:rsid w:val="001B071D"/>
    <w:rsid w:val="001B07D3"/>
    <w:rsid w:val="001B169A"/>
    <w:rsid w:val="001B1DB2"/>
    <w:rsid w:val="001B27A9"/>
    <w:rsid w:val="001B5212"/>
    <w:rsid w:val="001B6E72"/>
    <w:rsid w:val="001B778A"/>
    <w:rsid w:val="001B7E93"/>
    <w:rsid w:val="001C01D2"/>
    <w:rsid w:val="001C0520"/>
    <w:rsid w:val="001C0541"/>
    <w:rsid w:val="001C140C"/>
    <w:rsid w:val="001C366A"/>
    <w:rsid w:val="001C6405"/>
    <w:rsid w:val="001C6B2D"/>
    <w:rsid w:val="001C6B66"/>
    <w:rsid w:val="001C718C"/>
    <w:rsid w:val="001D173C"/>
    <w:rsid w:val="001D17FA"/>
    <w:rsid w:val="001D2049"/>
    <w:rsid w:val="001D23DC"/>
    <w:rsid w:val="001D2903"/>
    <w:rsid w:val="001D315F"/>
    <w:rsid w:val="001D3FCD"/>
    <w:rsid w:val="001D73DD"/>
    <w:rsid w:val="001E11DA"/>
    <w:rsid w:val="001E1F5C"/>
    <w:rsid w:val="001E2093"/>
    <w:rsid w:val="001E3F32"/>
    <w:rsid w:val="001E4A55"/>
    <w:rsid w:val="001E5034"/>
    <w:rsid w:val="001E6895"/>
    <w:rsid w:val="001E7360"/>
    <w:rsid w:val="001F2D6C"/>
    <w:rsid w:val="001F403A"/>
    <w:rsid w:val="001F437B"/>
    <w:rsid w:val="001F43CE"/>
    <w:rsid w:val="001F65A7"/>
    <w:rsid w:val="00200361"/>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50DF"/>
    <w:rsid w:val="0022702B"/>
    <w:rsid w:val="00227DB5"/>
    <w:rsid w:val="00230104"/>
    <w:rsid w:val="00231520"/>
    <w:rsid w:val="00231827"/>
    <w:rsid w:val="00232F6B"/>
    <w:rsid w:val="00233221"/>
    <w:rsid w:val="00233D34"/>
    <w:rsid w:val="0023453F"/>
    <w:rsid w:val="00234D81"/>
    <w:rsid w:val="00236F69"/>
    <w:rsid w:val="0024316F"/>
    <w:rsid w:val="0024343B"/>
    <w:rsid w:val="00245549"/>
    <w:rsid w:val="00245842"/>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263C"/>
    <w:rsid w:val="00273123"/>
    <w:rsid w:val="00276F7B"/>
    <w:rsid w:val="00277069"/>
    <w:rsid w:val="00277CC9"/>
    <w:rsid w:val="00283E0E"/>
    <w:rsid w:val="002858F3"/>
    <w:rsid w:val="00290E4D"/>
    <w:rsid w:val="0029183E"/>
    <w:rsid w:val="00291A94"/>
    <w:rsid w:val="00292430"/>
    <w:rsid w:val="00293236"/>
    <w:rsid w:val="00295261"/>
    <w:rsid w:val="00296159"/>
    <w:rsid w:val="002967A2"/>
    <w:rsid w:val="002970F6"/>
    <w:rsid w:val="002A18FF"/>
    <w:rsid w:val="002A49B0"/>
    <w:rsid w:val="002A61CD"/>
    <w:rsid w:val="002A66DA"/>
    <w:rsid w:val="002A6E64"/>
    <w:rsid w:val="002B26D2"/>
    <w:rsid w:val="002B6BC3"/>
    <w:rsid w:val="002B79A6"/>
    <w:rsid w:val="002C4268"/>
    <w:rsid w:val="002C4CD3"/>
    <w:rsid w:val="002C5553"/>
    <w:rsid w:val="002C6CC2"/>
    <w:rsid w:val="002D1332"/>
    <w:rsid w:val="002D1FBB"/>
    <w:rsid w:val="002D2189"/>
    <w:rsid w:val="002D3106"/>
    <w:rsid w:val="002D43E2"/>
    <w:rsid w:val="002D67F3"/>
    <w:rsid w:val="002D7301"/>
    <w:rsid w:val="002D7F54"/>
    <w:rsid w:val="002E00CE"/>
    <w:rsid w:val="002E09BD"/>
    <w:rsid w:val="002E2CE1"/>
    <w:rsid w:val="002E2DB8"/>
    <w:rsid w:val="002E2FF9"/>
    <w:rsid w:val="002E31D4"/>
    <w:rsid w:val="002E400B"/>
    <w:rsid w:val="002E43B0"/>
    <w:rsid w:val="002E4DF2"/>
    <w:rsid w:val="002E6984"/>
    <w:rsid w:val="002E79E3"/>
    <w:rsid w:val="002E7B81"/>
    <w:rsid w:val="002E7D34"/>
    <w:rsid w:val="002E7EC8"/>
    <w:rsid w:val="002F00F4"/>
    <w:rsid w:val="002F0973"/>
    <w:rsid w:val="002F1425"/>
    <w:rsid w:val="002F1905"/>
    <w:rsid w:val="002F1940"/>
    <w:rsid w:val="002F326F"/>
    <w:rsid w:val="002F6BCE"/>
    <w:rsid w:val="002F73B4"/>
    <w:rsid w:val="002F7C53"/>
    <w:rsid w:val="00301FCF"/>
    <w:rsid w:val="0030492B"/>
    <w:rsid w:val="0030494D"/>
    <w:rsid w:val="00304E05"/>
    <w:rsid w:val="0030525E"/>
    <w:rsid w:val="00305D16"/>
    <w:rsid w:val="00305D46"/>
    <w:rsid w:val="003065AC"/>
    <w:rsid w:val="0030717C"/>
    <w:rsid w:val="0030723B"/>
    <w:rsid w:val="003107A3"/>
    <w:rsid w:val="0031139C"/>
    <w:rsid w:val="00311454"/>
    <w:rsid w:val="003115ED"/>
    <w:rsid w:val="00312232"/>
    <w:rsid w:val="0031320D"/>
    <w:rsid w:val="00314F6D"/>
    <w:rsid w:val="0031619A"/>
    <w:rsid w:val="00321CF2"/>
    <w:rsid w:val="00322A0A"/>
    <w:rsid w:val="00325625"/>
    <w:rsid w:val="003256F0"/>
    <w:rsid w:val="00326430"/>
    <w:rsid w:val="0032749C"/>
    <w:rsid w:val="00327913"/>
    <w:rsid w:val="00330029"/>
    <w:rsid w:val="003301E8"/>
    <w:rsid w:val="003309D9"/>
    <w:rsid w:val="00331386"/>
    <w:rsid w:val="003313AF"/>
    <w:rsid w:val="0033153B"/>
    <w:rsid w:val="003317CD"/>
    <w:rsid w:val="0033223B"/>
    <w:rsid w:val="00333981"/>
    <w:rsid w:val="00336A68"/>
    <w:rsid w:val="00337726"/>
    <w:rsid w:val="0034038A"/>
    <w:rsid w:val="00340C69"/>
    <w:rsid w:val="00340CD3"/>
    <w:rsid w:val="003415D4"/>
    <w:rsid w:val="00342098"/>
    <w:rsid w:val="003439B0"/>
    <w:rsid w:val="003441DF"/>
    <w:rsid w:val="0034456F"/>
    <w:rsid w:val="00344CD0"/>
    <w:rsid w:val="00345030"/>
    <w:rsid w:val="003452E1"/>
    <w:rsid w:val="00345E50"/>
    <w:rsid w:val="003467EB"/>
    <w:rsid w:val="003472D4"/>
    <w:rsid w:val="00347EE1"/>
    <w:rsid w:val="00350045"/>
    <w:rsid w:val="00355672"/>
    <w:rsid w:val="00355A58"/>
    <w:rsid w:val="0035645B"/>
    <w:rsid w:val="0035712A"/>
    <w:rsid w:val="0036354C"/>
    <w:rsid w:val="00363E36"/>
    <w:rsid w:val="00363F4D"/>
    <w:rsid w:val="00364527"/>
    <w:rsid w:val="003651FB"/>
    <w:rsid w:val="0036531B"/>
    <w:rsid w:val="00367582"/>
    <w:rsid w:val="00371AD1"/>
    <w:rsid w:val="00371DCF"/>
    <w:rsid w:val="00372A38"/>
    <w:rsid w:val="00372BDD"/>
    <w:rsid w:val="00372C18"/>
    <w:rsid w:val="003731E0"/>
    <w:rsid w:val="003766FB"/>
    <w:rsid w:val="00383545"/>
    <w:rsid w:val="00384100"/>
    <w:rsid w:val="00384EFC"/>
    <w:rsid w:val="00385E17"/>
    <w:rsid w:val="0038675F"/>
    <w:rsid w:val="003872AE"/>
    <w:rsid w:val="00394524"/>
    <w:rsid w:val="0039698A"/>
    <w:rsid w:val="00396B66"/>
    <w:rsid w:val="00397FDA"/>
    <w:rsid w:val="003A0F5D"/>
    <w:rsid w:val="003A18D4"/>
    <w:rsid w:val="003A423F"/>
    <w:rsid w:val="003A42E7"/>
    <w:rsid w:val="003A4530"/>
    <w:rsid w:val="003A4C6E"/>
    <w:rsid w:val="003A4F35"/>
    <w:rsid w:val="003A5512"/>
    <w:rsid w:val="003A76A3"/>
    <w:rsid w:val="003A7872"/>
    <w:rsid w:val="003B05B1"/>
    <w:rsid w:val="003B1006"/>
    <w:rsid w:val="003B1338"/>
    <w:rsid w:val="003B32AC"/>
    <w:rsid w:val="003B34A4"/>
    <w:rsid w:val="003B34DB"/>
    <w:rsid w:val="003B4C75"/>
    <w:rsid w:val="003B5A3E"/>
    <w:rsid w:val="003B6329"/>
    <w:rsid w:val="003B6D6E"/>
    <w:rsid w:val="003B6DEC"/>
    <w:rsid w:val="003B7DAB"/>
    <w:rsid w:val="003B7F7B"/>
    <w:rsid w:val="003C022E"/>
    <w:rsid w:val="003C2025"/>
    <w:rsid w:val="003C2B19"/>
    <w:rsid w:val="003C3872"/>
    <w:rsid w:val="003C4057"/>
    <w:rsid w:val="003C43EF"/>
    <w:rsid w:val="003C5E8B"/>
    <w:rsid w:val="003C75CD"/>
    <w:rsid w:val="003D00A2"/>
    <w:rsid w:val="003D1AC2"/>
    <w:rsid w:val="003D2026"/>
    <w:rsid w:val="003D207E"/>
    <w:rsid w:val="003D2090"/>
    <w:rsid w:val="003D2956"/>
    <w:rsid w:val="003D377D"/>
    <w:rsid w:val="003D3F18"/>
    <w:rsid w:val="003D457D"/>
    <w:rsid w:val="003D6ABF"/>
    <w:rsid w:val="003D7FBC"/>
    <w:rsid w:val="003E36D4"/>
    <w:rsid w:val="003E3E54"/>
    <w:rsid w:val="003E4267"/>
    <w:rsid w:val="003E6944"/>
    <w:rsid w:val="003F24B2"/>
    <w:rsid w:val="003F2E16"/>
    <w:rsid w:val="003F41D0"/>
    <w:rsid w:val="003F4968"/>
    <w:rsid w:val="003F4B95"/>
    <w:rsid w:val="003F6601"/>
    <w:rsid w:val="003F6D7D"/>
    <w:rsid w:val="003F6D9A"/>
    <w:rsid w:val="00403CD5"/>
    <w:rsid w:val="00403F15"/>
    <w:rsid w:val="004049C5"/>
    <w:rsid w:val="00405E50"/>
    <w:rsid w:val="00406D4E"/>
    <w:rsid w:val="00411F13"/>
    <w:rsid w:val="0041364A"/>
    <w:rsid w:val="00413999"/>
    <w:rsid w:val="004156CD"/>
    <w:rsid w:val="00417856"/>
    <w:rsid w:val="004213FC"/>
    <w:rsid w:val="00423E17"/>
    <w:rsid w:val="00424105"/>
    <w:rsid w:val="0042418C"/>
    <w:rsid w:val="00424BB6"/>
    <w:rsid w:val="00424CBE"/>
    <w:rsid w:val="0042514A"/>
    <w:rsid w:val="0042544B"/>
    <w:rsid w:val="00425FCA"/>
    <w:rsid w:val="00427A11"/>
    <w:rsid w:val="00427F43"/>
    <w:rsid w:val="00430481"/>
    <w:rsid w:val="00430636"/>
    <w:rsid w:val="0043179F"/>
    <w:rsid w:val="004322A6"/>
    <w:rsid w:val="00432C3F"/>
    <w:rsid w:val="00433500"/>
    <w:rsid w:val="00433E6B"/>
    <w:rsid w:val="00433F71"/>
    <w:rsid w:val="004376E8"/>
    <w:rsid w:val="0043790E"/>
    <w:rsid w:val="0044049D"/>
    <w:rsid w:val="004413AA"/>
    <w:rsid w:val="00441BA9"/>
    <w:rsid w:val="00441F50"/>
    <w:rsid w:val="00442222"/>
    <w:rsid w:val="0044246A"/>
    <w:rsid w:val="00444771"/>
    <w:rsid w:val="00444AD4"/>
    <w:rsid w:val="00444D46"/>
    <w:rsid w:val="00446298"/>
    <w:rsid w:val="00446E63"/>
    <w:rsid w:val="00447C61"/>
    <w:rsid w:val="00450F7A"/>
    <w:rsid w:val="004514CC"/>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145C"/>
    <w:rsid w:val="004721CA"/>
    <w:rsid w:val="0047222A"/>
    <w:rsid w:val="00472E3F"/>
    <w:rsid w:val="00476F46"/>
    <w:rsid w:val="004804D6"/>
    <w:rsid w:val="00480FD9"/>
    <w:rsid w:val="004817E4"/>
    <w:rsid w:val="00481A6C"/>
    <w:rsid w:val="00481F35"/>
    <w:rsid w:val="00482ABA"/>
    <w:rsid w:val="00484529"/>
    <w:rsid w:val="00484CEA"/>
    <w:rsid w:val="00485DF9"/>
    <w:rsid w:val="004870CB"/>
    <w:rsid w:val="00490BC9"/>
    <w:rsid w:val="00490EFC"/>
    <w:rsid w:val="00490F4E"/>
    <w:rsid w:val="0049139D"/>
    <w:rsid w:val="00491E7E"/>
    <w:rsid w:val="00494A24"/>
    <w:rsid w:val="00494AFE"/>
    <w:rsid w:val="00494E2E"/>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621"/>
    <w:rsid w:val="004C01A5"/>
    <w:rsid w:val="004C1750"/>
    <w:rsid w:val="004C2E13"/>
    <w:rsid w:val="004C2ED1"/>
    <w:rsid w:val="004C53EA"/>
    <w:rsid w:val="004C6E18"/>
    <w:rsid w:val="004C7552"/>
    <w:rsid w:val="004C7A5B"/>
    <w:rsid w:val="004D22A9"/>
    <w:rsid w:val="004D2436"/>
    <w:rsid w:val="004D485E"/>
    <w:rsid w:val="004D550F"/>
    <w:rsid w:val="004D5B59"/>
    <w:rsid w:val="004D6222"/>
    <w:rsid w:val="004D70E3"/>
    <w:rsid w:val="004D777A"/>
    <w:rsid w:val="004E0F37"/>
    <w:rsid w:val="004E0FE2"/>
    <w:rsid w:val="004E20CE"/>
    <w:rsid w:val="004E25B7"/>
    <w:rsid w:val="004E26E0"/>
    <w:rsid w:val="004E3686"/>
    <w:rsid w:val="004E3939"/>
    <w:rsid w:val="004E45F5"/>
    <w:rsid w:val="004E4682"/>
    <w:rsid w:val="004E586C"/>
    <w:rsid w:val="004E5DDF"/>
    <w:rsid w:val="004E6612"/>
    <w:rsid w:val="004E66BB"/>
    <w:rsid w:val="004F10B5"/>
    <w:rsid w:val="004F1C75"/>
    <w:rsid w:val="004F2F8C"/>
    <w:rsid w:val="004F3FD1"/>
    <w:rsid w:val="004F53BF"/>
    <w:rsid w:val="004F54D6"/>
    <w:rsid w:val="004F5AF3"/>
    <w:rsid w:val="004F7116"/>
    <w:rsid w:val="004F78AE"/>
    <w:rsid w:val="0050153D"/>
    <w:rsid w:val="0050178F"/>
    <w:rsid w:val="00501B69"/>
    <w:rsid w:val="00501CBC"/>
    <w:rsid w:val="00503F31"/>
    <w:rsid w:val="0050544D"/>
    <w:rsid w:val="00505AF1"/>
    <w:rsid w:val="00505FEC"/>
    <w:rsid w:val="00506065"/>
    <w:rsid w:val="0050687B"/>
    <w:rsid w:val="00511214"/>
    <w:rsid w:val="00511A56"/>
    <w:rsid w:val="0051214E"/>
    <w:rsid w:val="0051227E"/>
    <w:rsid w:val="00513CB0"/>
    <w:rsid w:val="00513DD9"/>
    <w:rsid w:val="00514511"/>
    <w:rsid w:val="005155F8"/>
    <w:rsid w:val="00515805"/>
    <w:rsid w:val="00515AC2"/>
    <w:rsid w:val="005175C0"/>
    <w:rsid w:val="00517943"/>
    <w:rsid w:val="00520766"/>
    <w:rsid w:val="00520AB0"/>
    <w:rsid w:val="0052370D"/>
    <w:rsid w:val="00523C9C"/>
    <w:rsid w:val="00526746"/>
    <w:rsid w:val="0052708E"/>
    <w:rsid w:val="00530F4E"/>
    <w:rsid w:val="005313A3"/>
    <w:rsid w:val="00531E90"/>
    <w:rsid w:val="0053216B"/>
    <w:rsid w:val="0053262B"/>
    <w:rsid w:val="00532CF8"/>
    <w:rsid w:val="00533780"/>
    <w:rsid w:val="0053565A"/>
    <w:rsid w:val="005364EC"/>
    <w:rsid w:val="00536B7E"/>
    <w:rsid w:val="00536FC8"/>
    <w:rsid w:val="00537628"/>
    <w:rsid w:val="00537734"/>
    <w:rsid w:val="005408D6"/>
    <w:rsid w:val="00542627"/>
    <w:rsid w:val="00542CEF"/>
    <w:rsid w:val="00542D79"/>
    <w:rsid w:val="00543A43"/>
    <w:rsid w:val="005449E6"/>
    <w:rsid w:val="005465EC"/>
    <w:rsid w:val="005512C9"/>
    <w:rsid w:val="00551678"/>
    <w:rsid w:val="005527ED"/>
    <w:rsid w:val="00552FA4"/>
    <w:rsid w:val="00570499"/>
    <w:rsid w:val="005706DE"/>
    <w:rsid w:val="00570E77"/>
    <w:rsid w:val="00571043"/>
    <w:rsid w:val="00571E21"/>
    <w:rsid w:val="00572317"/>
    <w:rsid w:val="005727FD"/>
    <w:rsid w:val="00573519"/>
    <w:rsid w:val="00573DED"/>
    <w:rsid w:val="005746EE"/>
    <w:rsid w:val="005749CB"/>
    <w:rsid w:val="00575B1E"/>
    <w:rsid w:val="005767E1"/>
    <w:rsid w:val="00580F5C"/>
    <w:rsid w:val="00580FD3"/>
    <w:rsid w:val="00581C84"/>
    <w:rsid w:val="00582664"/>
    <w:rsid w:val="00584ECB"/>
    <w:rsid w:val="00585690"/>
    <w:rsid w:val="00585A38"/>
    <w:rsid w:val="00585B7F"/>
    <w:rsid w:val="00587A1F"/>
    <w:rsid w:val="00587A60"/>
    <w:rsid w:val="005911CD"/>
    <w:rsid w:val="0059249F"/>
    <w:rsid w:val="00593D85"/>
    <w:rsid w:val="0059666D"/>
    <w:rsid w:val="00597648"/>
    <w:rsid w:val="00597B8D"/>
    <w:rsid w:val="005A0835"/>
    <w:rsid w:val="005A1B30"/>
    <w:rsid w:val="005A39F3"/>
    <w:rsid w:val="005A41A1"/>
    <w:rsid w:val="005A7864"/>
    <w:rsid w:val="005A7FAB"/>
    <w:rsid w:val="005B0A31"/>
    <w:rsid w:val="005B19AD"/>
    <w:rsid w:val="005B208E"/>
    <w:rsid w:val="005B3F65"/>
    <w:rsid w:val="005B4457"/>
    <w:rsid w:val="005B4E23"/>
    <w:rsid w:val="005B5477"/>
    <w:rsid w:val="005B576D"/>
    <w:rsid w:val="005B5A12"/>
    <w:rsid w:val="005B5E53"/>
    <w:rsid w:val="005B61E3"/>
    <w:rsid w:val="005B6711"/>
    <w:rsid w:val="005B6FA8"/>
    <w:rsid w:val="005B728E"/>
    <w:rsid w:val="005C1E42"/>
    <w:rsid w:val="005C32E8"/>
    <w:rsid w:val="005C492F"/>
    <w:rsid w:val="005C49C3"/>
    <w:rsid w:val="005C54FF"/>
    <w:rsid w:val="005C5755"/>
    <w:rsid w:val="005C7C5B"/>
    <w:rsid w:val="005D2F5D"/>
    <w:rsid w:val="005D321C"/>
    <w:rsid w:val="005D429B"/>
    <w:rsid w:val="005D495F"/>
    <w:rsid w:val="005D650B"/>
    <w:rsid w:val="005E0421"/>
    <w:rsid w:val="005E1CF6"/>
    <w:rsid w:val="005E6848"/>
    <w:rsid w:val="005F0150"/>
    <w:rsid w:val="005F18A9"/>
    <w:rsid w:val="005F1FA5"/>
    <w:rsid w:val="005F23D1"/>
    <w:rsid w:val="005F3055"/>
    <w:rsid w:val="005F3078"/>
    <w:rsid w:val="005F335E"/>
    <w:rsid w:val="005F3EBB"/>
    <w:rsid w:val="005F50A3"/>
    <w:rsid w:val="005F6015"/>
    <w:rsid w:val="005F66DB"/>
    <w:rsid w:val="005F6CAC"/>
    <w:rsid w:val="00600549"/>
    <w:rsid w:val="00600E15"/>
    <w:rsid w:val="006033AC"/>
    <w:rsid w:val="00605259"/>
    <w:rsid w:val="006101A0"/>
    <w:rsid w:val="00610451"/>
    <w:rsid w:val="00613107"/>
    <w:rsid w:val="00613CF0"/>
    <w:rsid w:val="00613F59"/>
    <w:rsid w:val="006149FE"/>
    <w:rsid w:val="00614CB8"/>
    <w:rsid w:val="00614F8D"/>
    <w:rsid w:val="006219DB"/>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40CD9"/>
    <w:rsid w:val="00640F09"/>
    <w:rsid w:val="00640F70"/>
    <w:rsid w:val="00642C46"/>
    <w:rsid w:val="00643D9A"/>
    <w:rsid w:val="00644AA1"/>
    <w:rsid w:val="006467ED"/>
    <w:rsid w:val="00646AAB"/>
    <w:rsid w:val="006477EB"/>
    <w:rsid w:val="00647FDE"/>
    <w:rsid w:val="00653A91"/>
    <w:rsid w:val="00654086"/>
    <w:rsid w:val="0065425F"/>
    <w:rsid w:val="00654766"/>
    <w:rsid w:val="00655482"/>
    <w:rsid w:val="00655AD0"/>
    <w:rsid w:val="00655DC0"/>
    <w:rsid w:val="00665952"/>
    <w:rsid w:val="00666432"/>
    <w:rsid w:val="0067262A"/>
    <w:rsid w:val="00673C3C"/>
    <w:rsid w:val="00673F3F"/>
    <w:rsid w:val="00673F64"/>
    <w:rsid w:val="006749CD"/>
    <w:rsid w:val="00675240"/>
    <w:rsid w:val="0067551B"/>
    <w:rsid w:val="00675A46"/>
    <w:rsid w:val="00675F0D"/>
    <w:rsid w:val="00684D52"/>
    <w:rsid w:val="00685788"/>
    <w:rsid w:val="00685872"/>
    <w:rsid w:val="00687D39"/>
    <w:rsid w:val="0069044A"/>
    <w:rsid w:val="006922A2"/>
    <w:rsid w:val="006924B6"/>
    <w:rsid w:val="006938C5"/>
    <w:rsid w:val="00697079"/>
    <w:rsid w:val="006A0A0D"/>
    <w:rsid w:val="006A31C8"/>
    <w:rsid w:val="006A464E"/>
    <w:rsid w:val="006A4E06"/>
    <w:rsid w:val="006A58AF"/>
    <w:rsid w:val="006A5E2A"/>
    <w:rsid w:val="006A5F4F"/>
    <w:rsid w:val="006A63F4"/>
    <w:rsid w:val="006B17F4"/>
    <w:rsid w:val="006B1A65"/>
    <w:rsid w:val="006B25BA"/>
    <w:rsid w:val="006B4A30"/>
    <w:rsid w:val="006B509B"/>
    <w:rsid w:val="006C05DA"/>
    <w:rsid w:val="006C10D2"/>
    <w:rsid w:val="006C1FBE"/>
    <w:rsid w:val="006C3623"/>
    <w:rsid w:val="006D0560"/>
    <w:rsid w:val="006D14CE"/>
    <w:rsid w:val="006D1DBB"/>
    <w:rsid w:val="006D47ED"/>
    <w:rsid w:val="006D5125"/>
    <w:rsid w:val="006D61FC"/>
    <w:rsid w:val="006D6681"/>
    <w:rsid w:val="006D6E04"/>
    <w:rsid w:val="006D6FBD"/>
    <w:rsid w:val="006E0145"/>
    <w:rsid w:val="006E0158"/>
    <w:rsid w:val="006E1DD6"/>
    <w:rsid w:val="006E2882"/>
    <w:rsid w:val="006E3CA0"/>
    <w:rsid w:val="006E4986"/>
    <w:rsid w:val="006E5135"/>
    <w:rsid w:val="006E53DB"/>
    <w:rsid w:val="006E6460"/>
    <w:rsid w:val="006E70E9"/>
    <w:rsid w:val="006E7646"/>
    <w:rsid w:val="006E786E"/>
    <w:rsid w:val="006E7CFD"/>
    <w:rsid w:val="006F2245"/>
    <w:rsid w:val="006F5A9E"/>
    <w:rsid w:val="006F5C26"/>
    <w:rsid w:val="006F6144"/>
    <w:rsid w:val="00700123"/>
    <w:rsid w:val="00701B6D"/>
    <w:rsid w:val="00701E6D"/>
    <w:rsid w:val="00703B5D"/>
    <w:rsid w:val="00706209"/>
    <w:rsid w:val="00706398"/>
    <w:rsid w:val="00706920"/>
    <w:rsid w:val="00706DC7"/>
    <w:rsid w:val="00707B2E"/>
    <w:rsid w:val="0071022A"/>
    <w:rsid w:val="007119BC"/>
    <w:rsid w:val="00712739"/>
    <w:rsid w:val="007153FB"/>
    <w:rsid w:val="0071634C"/>
    <w:rsid w:val="00716514"/>
    <w:rsid w:val="007175D4"/>
    <w:rsid w:val="00717825"/>
    <w:rsid w:val="00717A41"/>
    <w:rsid w:val="007204FA"/>
    <w:rsid w:val="0072055B"/>
    <w:rsid w:val="00720D1E"/>
    <w:rsid w:val="00722AB3"/>
    <w:rsid w:val="00723E52"/>
    <w:rsid w:val="0072459F"/>
    <w:rsid w:val="0072606E"/>
    <w:rsid w:val="007262EA"/>
    <w:rsid w:val="007278B6"/>
    <w:rsid w:val="00727F8A"/>
    <w:rsid w:val="0073013E"/>
    <w:rsid w:val="007305CD"/>
    <w:rsid w:val="00731133"/>
    <w:rsid w:val="00731A11"/>
    <w:rsid w:val="00733018"/>
    <w:rsid w:val="0073401C"/>
    <w:rsid w:val="00734651"/>
    <w:rsid w:val="0073551D"/>
    <w:rsid w:val="00735CA3"/>
    <w:rsid w:val="007373BF"/>
    <w:rsid w:val="00737A23"/>
    <w:rsid w:val="00737D0C"/>
    <w:rsid w:val="00741C8A"/>
    <w:rsid w:val="00742EF1"/>
    <w:rsid w:val="00743D31"/>
    <w:rsid w:val="00745EF3"/>
    <w:rsid w:val="00746D8B"/>
    <w:rsid w:val="0074752A"/>
    <w:rsid w:val="0075024C"/>
    <w:rsid w:val="00751164"/>
    <w:rsid w:val="007531DC"/>
    <w:rsid w:val="00753590"/>
    <w:rsid w:val="00753F87"/>
    <w:rsid w:val="00754D43"/>
    <w:rsid w:val="007550E5"/>
    <w:rsid w:val="00757280"/>
    <w:rsid w:val="00757884"/>
    <w:rsid w:val="00757C14"/>
    <w:rsid w:val="00760982"/>
    <w:rsid w:val="00760A52"/>
    <w:rsid w:val="00762856"/>
    <w:rsid w:val="00762CAE"/>
    <w:rsid w:val="0076375F"/>
    <w:rsid w:val="00763FFF"/>
    <w:rsid w:val="00764FCE"/>
    <w:rsid w:val="00765596"/>
    <w:rsid w:val="00765626"/>
    <w:rsid w:val="007677F9"/>
    <w:rsid w:val="00772BF8"/>
    <w:rsid w:val="00772F84"/>
    <w:rsid w:val="00773EF9"/>
    <w:rsid w:val="00774973"/>
    <w:rsid w:val="007752A4"/>
    <w:rsid w:val="00776085"/>
    <w:rsid w:val="00780E7D"/>
    <w:rsid w:val="007817DB"/>
    <w:rsid w:val="0078205F"/>
    <w:rsid w:val="00783B77"/>
    <w:rsid w:val="00783E4B"/>
    <w:rsid w:val="00784FC2"/>
    <w:rsid w:val="0078580F"/>
    <w:rsid w:val="00786339"/>
    <w:rsid w:val="007911A9"/>
    <w:rsid w:val="0079324C"/>
    <w:rsid w:val="00795534"/>
    <w:rsid w:val="00795D2E"/>
    <w:rsid w:val="00796761"/>
    <w:rsid w:val="00796ADA"/>
    <w:rsid w:val="007972A1"/>
    <w:rsid w:val="00797DF6"/>
    <w:rsid w:val="007A0080"/>
    <w:rsid w:val="007A4050"/>
    <w:rsid w:val="007A5112"/>
    <w:rsid w:val="007A5F4A"/>
    <w:rsid w:val="007A5FF6"/>
    <w:rsid w:val="007B0268"/>
    <w:rsid w:val="007B1598"/>
    <w:rsid w:val="007B279C"/>
    <w:rsid w:val="007B2818"/>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4CFE"/>
    <w:rsid w:val="00827E45"/>
    <w:rsid w:val="00827FDC"/>
    <w:rsid w:val="008307F2"/>
    <w:rsid w:val="0083139F"/>
    <w:rsid w:val="00833386"/>
    <w:rsid w:val="008335A5"/>
    <w:rsid w:val="00833E11"/>
    <w:rsid w:val="00834335"/>
    <w:rsid w:val="008346AC"/>
    <w:rsid w:val="0083592C"/>
    <w:rsid w:val="00835A4C"/>
    <w:rsid w:val="008370A0"/>
    <w:rsid w:val="00843479"/>
    <w:rsid w:val="00845303"/>
    <w:rsid w:val="008471A8"/>
    <w:rsid w:val="00847DBE"/>
    <w:rsid w:val="00852889"/>
    <w:rsid w:val="008536AB"/>
    <w:rsid w:val="00854BD2"/>
    <w:rsid w:val="008550FC"/>
    <w:rsid w:val="0085521E"/>
    <w:rsid w:val="00855B26"/>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26FD"/>
    <w:rsid w:val="00873B8F"/>
    <w:rsid w:val="008746E3"/>
    <w:rsid w:val="00876073"/>
    <w:rsid w:val="00877494"/>
    <w:rsid w:val="008775A4"/>
    <w:rsid w:val="0088021A"/>
    <w:rsid w:val="00881DA0"/>
    <w:rsid w:val="008833AF"/>
    <w:rsid w:val="00883C38"/>
    <w:rsid w:val="008842A9"/>
    <w:rsid w:val="0088430D"/>
    <w:rsid w:val="00884BC8"/>
    <w:rsid w:val="00884BE4"/>
    <w:rsid w:val="008913F2"/>
    <w:rsid w:val="0089175E"/>
    <w:rsid w:val="008919F7"/>
    <w:rsid w:val="008927F9"/>
    <w:rsid w:val="0089428D"/>
    <w:rsid w:val="00895C6D"/>
    <w:rsid w:val="00896457"/>
    <w:rsid w:val="0089674B"/>
    <w:rsid w:val="00897B4D"/>
    <w:rsid w:val="008A26D4"/>
    <w:rsid w:val="008A2788"/>
    <w:rsid w:val="008A3ED6"/>
    <w:rsid w:val="008A3EE6"/>
    <w:rsid w:val="008A42E0"/>
    <w:rsid w:val="008A63DC"/>
    <w:rsid w:val="008A6953"/>
    <w:rsid w:val="008A7EDC"/>
    <w:rsid w:val="008A7FCC"/>
    <w:rsid w:val="008B0C75"/>
    <w:rsid w:val="008B19ED"/>
    <w:rsid w:val="008B3AE0"/>
    <w:rsid w:val="008B491B"/>
    <w:rsid w:val="008B4CBF"/>
    <w:rsid w:val="008B628C"/>
    <w:rsid w:val="008C1FB2"/>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76DF"/>
    <w:rsid w:val="009079E5"/>
    <w:rsid w:val="00907DA7"/>
    <w:rsid w:val="00907F64"/>
    <w:rsid w:val="009120A3"/>
    <w:rsid w:val="00914882"/>
    <w:rsid w:val="009158A2"/>
    <w:rsid w:val="00920794"/>
    <w:rsid w:val="009208CF"/>
    <w:rsid w:val="00920C8B"/>
    <w:rsid w:val="00922D2D"/>
    <w:rsid w:val="00922E03"/>
    <w:rsid w:val="0092534F"/>
    <w:rsid w:val="009260C9"/>
    <w:rsid w:val="0092619B"/>
    <w:rsid w:val="00927304"/>
    <w:rsid w:val="00930067"/>
    <w:rsid w:val="00930798"/>
    <w:rsid w:val="00933F31"/>
    <w:rsid w:val="009350C7"/>
    <w:rsid w:val="00935577"/>
    <w:rsid w:val="00937907"/>
    <w:rsid w:val="00940BCE"/>
    <w:rsid w:val="0094171D"/>
    <w:rsid w:val="00942559"/>
    <w:rsid w:val="00943245"/>
    <w:rsid w:val="009434E5"/>
    <w:rsid w:val="009440C4"/>
    <w:rsid w:val="009444BB"/>
    <w:rsid w:val="00944A0F"/>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704B4"/>
    <w:rsid w:val="00970D6F"/>
    <w:rsid w:val="009714A1"/>
    <w:rsid w:val="00972345"/>
    <w:rsid w:val="00972390"/>
    <w:rsid w:val="009735C1"/>
    <w:rsid w:val="0097363D"/>
    <w:rsid w:val="009757A9"/>
    <w:rsid w:val="009760CC"/>
    <w:rsid w:val="0097790F"/>
    <w:rsid w:val="009816B4"/>
    <w:rsid w:val="00982076"/>
    <w:rsid w:val="00983797"/>
    <w:rsid w:val="0098419D"/>
    <w:rsid w:val="00984970"/>
    <w:rsid w:val="00986616"/>
    <w:rsid w:val="00986A1E"/>
    <w:rsid w:val="00987368"/>
    <w:rsid w:val="00990383"/>
    <w:rsid w:val="00990611"/>
    <w:rsid w:val="009928DD"/>
    <w:rsid w:val="0099343F"/>
    <w:rsid w:val="00994A5A"/>
    <w:rsid w:val="0099577A"/>
    <w:rsid w:val="0099585E"/>
    <w:rsid w:val="00995DA7"/>
    <w:rsid w:val="00997077"/>
    <w:rsid w:val="0099764C"/>
    <w:rsid w:val="009A0F7B"/>
    <w:rsid w:val="009A29B7"/>
    <w:rsid w:val="009A4EDA"/>
    <w:rsid w:val="009A6197"/>
    <w:rsid w:val="009A62C1"/>
    <w:rsid w:val="009B1269"/>
    <w:rsid w:val="009B1C8D"/>
    <w:rsid w:val="009B253A"/>
    <w:rsid w:val="009B3ADB"/>
    <w:rsid w:val="009B3DB9"/>
    <w:rsid w:val="009B47E2"/>
    <w:rsid w:val="009B4E0F"/>
    <w:rsid w:val="009B6788"/>
    <w:rsid w:val="009B6BC8"/>
    <w:rsid w:val="009C0FCD"/>
    <w:rsid w:val="009C1580"/>
    <w:rsid w:val="009C18FE"/>
    <w:rsid w:val="009C2EF4"/>
    <w:rsid w:val="009C3459"/>
    <w:rsid w:val="009C3ACA"/>
    <w:rsid w:val="009C4219"/>
    <w:rsid w:val="009C4772"/>
    <w:rsid w:val="009C4905"/>
    <w:rsid w:val="009C4AB5"/>
    <w:rsid w:val="009C4D8A"/>
    <w:rsid w:val="009C7377"/>
    <w:rsid w:val="009C7A89"/>
    <w:rsid w:val="009C7DD3"/>
    <w:rsid w:val="009D0314"/>
    <w:rsid w:val="009D2118"/>
    <w:rsid w:val="009D328C"/>
    <w:rsid w:val="009D4C05"/>
    <w:rsid w:val="009D6E26"/>
    <w:rsid w:val="009D7C41"/>
    <w:rsid w:val="009E2970"/>
    <w:rsid w:val="009E3A54"/>
    <w:rsid w:val="009E54BD"/>
    <w:rsid w:val="009E5606"/>
    <w:rsid w:val="009E64DF"/>
    <w:rsid w:val="009E7168"/>
    <w:rsid w:val="009E7503"/>
    <w:rsid w:val="009F0546"/>
    <w:rsid w:val="009F0E33"/>
    <w:rsid w:val="009F13C5"/>
    <w:rsid w:val="009F236E"/>
    <w:rsid w:val="009F2B14"/>
    <w:rsid w:val="009F2B62"/>
    <w:rsid w:val="009F3A73"/>
    <w:rsid w:val="009F4C7C"/>
    <w:rsid w:val="009F65D1"/>
    <w:rsid w:val="009F7357"/>
    <w:rsid w:val="009F7866"/>
    <w:rsid w:val="00A00195"/>
    <w:rsid w:val="00A00199"/>
    <w:rsid w:val="00A012FA"/>
    <w:rsid w:val="00A01538"/>
    <w:rsid w:val="00A021DA"/>
    <w:rsid w:val="00A067A9"/>
    <w:rsid w:val="00A10143"/>
    <w:rsid w:val="00A1022C"/>
    <w:rsid w:val="00A11BA8"/>
    <w:rsid w:val="00A12332"/>
    <w:rsid w:val="00A15E56"/>
    <w:rsid w:val="00A20E85"/>
    <w:rsid w:val="00A21376"/>
    <w:rsid w:val="00A23626"/>
    <w:rsid w:val="00A27686"/>
    <w:rsid w:val="00A27733"/>
    <w:rsid w:val="00A3001C"/>
    <w:rsid w:val="00A30AEF"/>
    <w:rsid w:val="00A31D5B"/>
    <w:rsid w:val="00A31F9F"/>
    <w:rsid w:val="00A33459"/>
    <w:rsid w:val="00A339D0"/>
    <w:rsid w:val="00A33BB9"/>
    <w:rsid w:val="00A349F7"/>
    <w:rsid w:val="00A353DC"/>
    <w:rsid w:val="00A37517"/>
    <w:rsid w:val="00A37D25"/>
    <w:rsid w:val="00A40310"/>
    <w:rsid w:val="00A40B83"/>
    <w:rsid w:val="00A418D9"/>
    <w:rsid w:val="00A421CE"/>
    <w:rsid w:val="00A422FF"/>
    <w:rsid w:val="00A42325"/>
    <w:rsid w:val="00A42893"/>
    <w:rsid w:val="00A4534E"/>
    <w:rsid w:val="00A458C6"/>
    <w:rsid w:val="00A46600"/>
    <w:rsid w:val="00A4795F"/>
    <w:rsid w:val="00A52A31"/>
    <w:rsid w:val="00A54058"/>
    <w:rsid w:val="00A54D5F"/>
    <w:rsid w:val="00A55D1F"/>
    <w:rsid w:val="00A55D23"/>
    <w:rsid w:val="00A56501"/>
    <w:rsid w:val="00A569BA"/>
    <w:rsid w:val="00A61501"/>
    <w:rsid w:val="00A632ED"/>
    <w:rsid w:val="00A63719"/>
    <w:rsid w:val="00A63D09"/>
    <w:rsid w:val="00A63EF4"/>
    <w:rsid w:val="00A669BF"/>
    <w:rsid w:val="00A66C1D"/>
    <w:rsid w:val="00A67AE9"/>
    <w:rsid w:val="00A67D38"/>
    <w:rsid w:val="00A730C1"/>
    <w:rsid w:val="00A74D97"/>
    <w:rsid w:val="00A74FF7"/>
    <w:rsid w:val="00A75001"/>
    <w:rsid w:val="00A75533"/>
    <w:rsid w:val="00A7567C"/>
    <w:rsid w:val="00A75C39"/>
    <w:rsid w:val="00A76FFF"/>
    <w:rsid w:val="00A770A1"/>
    <w:rsid w:val="00A80F7B"/>
    <w:rsid w:val="00A81ED3"/>
    <w:rsid w:val="00A827F2"/>
    <w:rsid w:val="00A832D2"/>
    <w:rsid w:val="00A84A53"/>
    <w:rsid w:val="00A85190"/>
    <w:rsid w:val="00A871B6"/>
    <w:rsid w:val="00A90696"/>
    <w:rsid w:val="00A92389"/>
    <w:rsid w:val="00A93381"/>
    <w:rsid w:val="00A9542F"/>
    <w:rsid w:val="00A95578"/>
    <w:rsid w:val="00A9697B"/>
    <w:rsid w:val="00A97412"/>
    <w:rsid w:val="00AA0B83"/>
    <w:rsid w:val="00AA26A7"/>
    <w:rsid w:val="00AA36D1"/>
    <w:rsid w:val="00AA4219"/>
    <w:rsid w:val="00AA4BCA"/>
    <w:rsid w:val="00AA66F2"/>
    <w:rsid w:val="00AB0317"/>
    <w:rsid w:val="00AB250B"/>
    <w:rsid w:val="00AB49DB"/>
    <w:rsid w:val="00AB4E97"/>
    <w:rsid w:val="00AB554B"/>
    <w:rsid w:val="00AC1A4E"/>
    <w:rsid w:val="00AC21C4"/>
    <w:rsid w:val="00AC2E73"/>
    <w:rsid w:val="00AC44B3"/>
    <w:rsid w:val="00AC566D"/>
    <w:rsid w:val="00AC69F4"/>
    <w:rsid w:val="00AD2C0D"/>
    <w:rsid w:val="00AD4393"/>
    <w:rsid w:val="00AD48CC"/>
    <w:rsid w:val="00AD4A4D"/>
    <w:rsid w:val="00AD695A"/>
    <w:rsid w:val="00AD70FD"/>
    <w:rsid w:val="00AD7776"/>
    <w:rsid w:val="00AD7DC3"/>
    <w:rsid w:val="00AE084A"/>
    <w:rsid w:val="00AE1143"/>
    <w:rsid w:val="00AE13C9"/>
    <w:rsid w:val="00AE45FA"/>
    <w:rsid w:val="00AE574A"/>
    <w:rsid w:val="00AE788C"/>
    <w:rsid w:val="00AE7CD6"/>
    <w:rsid w:val="00AF0211"/>
    <w:rsid w:val="00AF042B"/>
    <w:rsid w:val="00AF08D6"/>
    <w:rsid w:val="00AF14A0"/>
    <w:rsid w:val="00AF25D9"/>
    <w:rsid w:val="00AF2A86"/>
    <w:rsid w:val="00AF2F06"/>
    <w:rsid w:val="00AF4737"/>
    <w:rsid w:val="00AF5584"/>
    <w:rsid w:val="00AF64F6"/>
    <w:rsid w:val="00B01113"/>
    <w:rsid w:val="00B01690"/>
    <w:rsid w:val="00B05536"/>
    <w:rsid w:val="00B05D98"/>
    <w:rsid w:val="00B06F7D"/>
    <w:rsid w:val="00B076F9"/>
    <w:rsid w:val="00B07A30"/>
    <w:rsid w:val="00B105F3"/>
    <w:rsid w:val="00B114E8"/>
    <w:rsid w:val="00B138EC"/>
    <w:rsid w:val="00B13F7D"/>
    <w:rsid w:val="00B1598C"/>
    <w:rsid w:val="00B16D64"/>
    <w:rsid w:val="00B17782"/>
    <w:rsid w:val="00B17DA3"/>
    <w:rsid w:val="00B21A05"/>
    <w:rsid w:val="00B221C5"/>
    <w:rsid w:val="00B257A3"/>
    <w:rsid w:val="00B26AF0"/>
    <w:rsid w:val="00B272BC"/>
    <w:rsid w:val="00B277CD"/>
    <w:rsid w:val="00B30BE2"/>
    <w:rsid w:val="00B30F5B"/>
    <w:rsid w:val="00B31BAB"/>
    <w:rsid w:val="00B325C7"/>
    <w:rsid w:val="00B32905"/>
    <w:rsid w:val="00B3325A"/>
    <w:rsid w:val="00B334EE"/>
    <w:rsid w:val="00B33DB2"/>
    <w:rsid w:val="00B34FFF"/>
    <w:rsid w:val="00B37503"/>
    <w:rsid w:val="00B41190"/>
    <w:rsid w:val="00B4364F"/>
    <w:rsid w:val="00B43CD7"/>
    <w:rsid w:val="00B4619B"/>
    <w:rsid w:val="00B465D4"/>
    <w:rsid w:val="00B46623"/>
    <w:rsid w:val="00B47D6E"/>
    <w:rsid w:val="00B52E74"/>
    <w:rsid w:val="00B53C63"/>
    <w:rsid w:val="00B55275"/>
    <w:rsid w:val="00B620B9"/>
    <w:rsid w:val="00B62509"/>
    <w:rsid w:val="00B6468A"/>
    <w:rsid w:val="00B64900"/>
    <w:rsid w:val="00B660F4"/>
    <w:rsid w:val="00B664FF"/>
    <w:rsid w:val="00B66BF8"/>
    <w:rsid w:val="00B66EB5"/>
    <w:rsid w:val="00B7021F"/>
    <w:rsid w:val="00B70372"/>
    <w:rsid w:val="00B717C7"/>
    <w:rsid w:val="00B72C60"/>
    <w:rsid w:val="00B72CB7"/>
    <w:rsid w:val="00B7450A"/>
    <w:rsid w:val="00B75411"/>
    <w:rsid w:val="00B75545"/>
    <w:rsid w:val="00B75CF8"/>
    <w:rsid w:val="00B770AA"/>
    <w:rsid w:val="00B7737C"/>
    <w:rsid w:val="00B77781"/>
    <w:rsid w:val="00B81A95"/>
    <w:rsid w:val="00B82D07"/>
    <w:rsid w:val="00B834BE"/>
    <w:rsid w:val="00B846FA"/>
    <w:rsid w:val="00B85CDC"/>
    <w:rsid w:val="00B86486"/>
    <w:rsid w:val="00B86695"/>
    <w:rsid w:val="00B86CDC"/>
    <w:rsid w:val="00B90233"/>
    <w:rsid w:val="00B90964"/>
    <w:rsid w:val="00B91163"/>
    <w:rsid w:val="00B93DE9"/>
    <w:rsid w:val="00B95E03"/>
    <w:rsid w:val="00B961F4"/>
    <w:rsid w:val="00B9671E"/>
    <w:rsid w:val="00B97103"/>
    <w:rsid w:val="00B9726D"/>
    <w:rsid w:val="00B97703"/>
    <w:rsid w:val="00BA0B62"/>
    <w:rsid w:val="00BA2299"/>
    <w:rsid w:val="00BA2BF5"/>
    <w:rsid w:val="00BA3571"/>
    <w:rsid w:val="00BA5244"/>
    <w:rsid w:val="00BA6C25"/>
    <w:rsid w:val="00BA7C02"/>
    <w:rsid w:val="00BB2671"/>
    <w:rsid w:val="00BB6A23"/>
    <w:rsid w:val="00BB6BDE"/>
    <w:rsid w:val="00BB793D"/>
    <w:rsid w:val="00BB797B"/>
    <w:rsid w:val="00BC172B"/>
    <w:rsid w:val="00BC17CE"/>
    <w:rsid w:val="00BC18FA"/>
    <w:rsid w:val="00BC27B4"/>
    <w:rsid w:val="00BC3561"/>
    <w:rsid w:val="00BC389A"/>
    <w:rsid w:val="00BC3D0F"/>
    <w:rsid w:val="00BC446A"/>
    <w:rsid w:val="00BC6B38"/>
    <w:rsid w:val="00BC74EE"/>
    <w:rsid w:val="00BC78EE"/>
    <w:rsid w:val="00BC795A"/>
    <w:rsid w:val="00BC7CC5"/>
    <w:rsid w:val="00BD0BE7"/>
    <w:rsid w:val="00BD0C4F"/>
    <w:rsid w:val="00BD1B44"/>
    <w:rsid w:val="00BD34B5"/>
    <w:rsid w:val="00BD4F51"/>
    <w:rsid w:val="00BD5344"/>
    <w:rsid w:val="00BD5F5C"/>
    <w:rsid w:val="00BE0C55"/>
    <w:rsid w:val="00BE0F57"/>
    <w:rsid w:val="00BE1B0F"/>
    <w:rsid w:val="00BE205F"/>
    <w:rsid w:val="00BE2B5E"/>
    <w:rsid w:val="00BE519D"/>
    <w:rsid w:val="00BF0B71"/>
    <w:rsid w:val="00BF12FB"/>
    <w:rsid w:val="00BF45AE"/>
    <w:rsid w:val="00BF4A70"/>
    <w:rsid w:val="00BF51E3"/>
    <w:rsid w:val="00BF526D"/>
    <w:rsid w:val="00BF5355"/>
    <w:rsid w:val="00BF5779"/>
    <w:rsid w:val="00BF6CC9"/>
    <w:rsid w:val="00C0250A"/>
    <w:rsid w:val="00C0261E"/>
    <w:rsid w:val="00C02AE4"/>
    <w:rsid w:val="00C0564F"/>
    <w:rsid w:val="00C06B65"/>
    <w:rsid w:val="00C1130F"/>
    <w:rsid w:val="00C12014"/>
    <w:rsid w:val="00C14B33"/>
    <w:rsid w:val="00C14DD8"/>
    <w:rsid w:val="00C1518C"/>
    <w:rsid w:val="00C166D4"/>
    <w:rsid w:val="00C177C2"/>
    <w:rsid w:val="00C21D6F"/>
    <w:rsid w:val="00C2274D"/>
    <w:rsid w:val="00C23CB9"/>
    <w:rsid w:val="00C241C9"/>
    <w:rsid w:val="00C24F3D"/>
    <w:rsid w:val="00C2644A"/>
    <w:rsid w:val="00C26A03"/>
    <w:rsid w:val="00C26EC7"/>
    <w:rsid w:val="00C300FF"/>
    <w:rsid w:val="00C311A5"/>
    <w:rsid w:val="00C41130"/>
    <w:rsid w:val="00C42224"/>
    <w:rsid w:val="00C42B96"/>
    <w:rsid w:val="00C4396A"/>
    <w:rsid w:val="00C43A33"/>
    <w:rsid w:val="00C44D07"/>
    <w:rsid w:val="00C462C3"/>
    <w:rsid w:val="00C46669"/>
    <w:rsid w:val="00C477EF"/>
    <w:rsid w:val="00C47F23"/>
    <w:rsid w:val="00C50AD1"/>
    <w:rsid w:val="00C5599A"/>
    <w:rsid w:val="00C6044B"/>
    <w:rsid w:val="00C60A4A"/>
    <w:rsid w:val="00C60C04"/>
    <w:rsid w:val="00C631D9"/>
    <w:rsid w:val="00C6351D"/>
    <w:rsid w:val="00C64655"/>
    <w:rsid w:val="00C66B04"/>
    <w:rsid w:val="00C67EEA"/>
    <w:rsid w:val="00C728B3"/>
    <w:rsid w:val="00C73671"/>
    <w:rsid w:val="00C74509"/>
    <w:rsid w:val="00C74AC3"/>
    <w:rsid w:val="00C75EDD"/>
    <w:rsid w:val="00C768DB"/>
    <w:rsid w:val="00C77461"/>
    <w:rsid w:val="00C77A3A"/>
    <w:rsid w:val="00C8209F"/>
    <w:rsid w:val="00C821D4"/>
    <w:rsid w:val="00C822C4"/>
    <w:rsid w:val="00C82985"/>
    <w:rsid w:val="00C83184"/>
    <w:rsid w:val="00C8482E"/>
    <w:rsid w:val="00C86C2E"/>
    <w:rsid w:val="00C90453"/>
    <w:rsid w:val="00C914A2"/>
    <w:rsid w:val="00C92760"/>
    <w:rsid w:val="00C93250"/>
    <w:rsid w:val="00C96B6E"/>
    <w:rsid w:val="00C97018"/>
    <w:rsid w:val="00C975C2"/>
    <w:rsid w:val="00C97B87"/>
    <w:rsid w:val="00CA400B"/>
    <w:rsid w:val="00CA5414"/>
    <w:rsid w:val="00CA7AF1"/>
    <w:rsid w:val="00CA7F5F"/>
    <w:rsid w:val="00CB078B"/>
    <w:rsid w:val="00CB1F7D"/>
    <w:rsid w:val="00CB2360"/>
    <w:rsid w:val="00CB4032"/>
    <w:rsid w:val="00CB6AC8"/>
    <w:rsid w:val="00CC0DF3"/>
    <w:rsid w:val="00CC14DE"/>
    <w:rsid w:val="00CC30EC"/>
    <w:rsid w:val="00CC51C7"/>
    <w:rsid w:val="00CC6B55"/>
    <w:rsid w:val="00CC6CC5"/>
    <w:rsid w:val="00CC7E2B"/>
    <w:rsid w:val="00CD0260"/>
    <w:rsid w:val="00CD2001"/>
    <w:rsid w:val="00CD2144"/>
    <w:rsid w:val="00CD26C5"/>
    <w:rsid w:val="00CD282A"/>
    <w:rsid w:val="00CD2B3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C39"/>
    <w:rsid w:val="00CF1EF2"/>
    <w:rsid w:val="00CF237F"/>
    <w:rsid w:val="00CF24BA"/>
    <w:rsid w:val="00CF458D"/>
    <w:rsid w:val="00CF4BC0"/>
    <w:rsid w:val="00CF59A1"/>
    <w:rsid w:val="00D00A51"/>
    <w:rsid w:val="00D01A14"/>
    <w:rsid w:val="00D03EF0"/>
    <w:rsid w:val="00D049B1"/>
    <w:rsid w:val="00D04F26"/>
    <w:rsid w:val="00D06016"/>
    <w:rsid w:val="00D078BA"/>
    <w:rsid w:val="00D101CC"/>
    <w:rsid w:val="00D10C04"/>
    <w:rsid w:val="00D11919"/>
    <w:rsid w:val="00D1313B"/>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03F8"/>
    <w:rsid w:val="00D41708"/>
    <w:rsid w:val="00D417BF"/>
    <w:rsid w:val="00D4214E"/>
    <w:rsid w:val="00D4480D"/>
    <w:rsid w:val="00D51E3C"/>
    <w:rsid w:val="00D558BF"/>
    <w:rsid w:val="00D56A8D"/>
    <w:rsid w:val="00D56CD0"/>
    <w:rsid w:val="00D5709E"/>
    <w:rsid w:val="00D57AC9"/>
    <w:rsid w:val="00D60048"/>
    <w:rsid w:val="00D6359A"/>
    <w:rsid w:val="00D6370E"/>
    <w:rsid w:val="00D63E18"/>
    <w:rsid w:val="00D66B44"/>
    <w:rsid w:val="00D67191"/>
    <w:rsid w:val="00D67422"/>
    <w:rsid w:val="00D70BE2"/>
    <w:rsid w:val="00D729C8"/>
    <w:rsid w:val="00D72F2B"/>
    <w:rsid w:val="00D73C4E"/>
    <w:rsid w:val="00D74762"/>
    <w:rsid w:val="00D74E37"/>
    <w:rsid w:val="00D802B9"/>
    <w:rsid w:val="00D83F77"/>
    <w:rsid w:val="00D8466F"/>
    <w:rsid w:val="00D85923"/>
    <w:rsid w:val="00D85CEF"/>
    <w:rsid w:val="00D8643E"/>
    <w:rsid w:val="00D9096F"/>
    <w:rsid w:val="00D92A4E"/>
    <w:rsid w:val="00D92EA2"/>
    <w:rsid w:val="00D937E4"/>
    <w:rsid w:val="00D948E1"/>
    <w:rsid w:val="00D957C4"/>
    <w:rsid w:val="00D9631B"/>
    <w:rsid w:val="00D96F68"/>
    <w:rsid w:val="00D97B58"/>
    <w:rsid w:val="00D97E23"/>
    <w:rsid w:val="00DA0B32"/>
    <w:rsid w:val="00DA0E89"/>
    <w:rsid w:val="00DA17F4"/>
    <w:rsid w:val="00DA1A79"/>
    <w:rsid w:val="00DA2011"/>
    <w:rsid w:val="00DA2AF7"/>
    <w:rsid w:val="00DA39CC"/>
    <w:rsid w:val="00DA4402"/>
    <w:rsid w:val="00DA6D5A"/>
    <w:rsid w:val="00DB0815"/>
    <w:rsid w:val="00DB34D5"/>
    <w:rsid w:val="00DB407A"/>
    <w:rsid w:val="00DB43AB"/>
    <w:rsid w:val="00DB46A0"/>
    <w:rsid w:val="00DB4B46"/>
    <w:rsid w:val="00DB793D"/>
    <w:rsid w:val="00DC048C"/>
    <w:rsid w:val="00DC1283"/>
    <w:rsid w:val="00DC21CC"/>
    <w:rsid w:val="00DC2347"/>
    <w:rsid w:val="00DC2B06"/>
    <w:rsid w:val="00DC2BA2"/>
    <w:rsid w:val="00DC3B82"/>
    <w:rsid w:val="00DC5F4E"/>
    <w:rsid w:val="00DC71C4"/>
    <w:rsid w:val="00DC7F69"/>
    <w:rsid w:val="00DD0B6D"/>
    <w:rsid w:val="00DD0EBB"/>
    <w:rsid w:val="00DD1A20"/>
    <w:rsid w:val="00DD1B2E"/>
    <w:rsid w:val="00DD22DF"/>
    <w:rsid w:val="00DD2380"/>
    <w:rsid w:val="00DD4675"/>
    <w:rsid w:val="00DD6516"/>
    <w:rsid w:val="00DD7971"/>
    <w:rsid w:val="00DE0046"/>
    <w:rsid w:val="00DE1E95"/>
    <w:rsid w:val="00DE45A9"/>
    <w:rsid w:val="00DE4DF9"/>
    <w:rsid w:val="00DE5685"/>
    <w:rsid w:val="00DE6BB0"/>
    <w:rsid w:val="00DF01F5"/>
    <w:rsid w:val="00DF100C"/>
    <w:rsid w:val="00DF297C"/>
    <w:rsid w:val="00DF4442"/>
    <w:rsid w:val="00DF7A54"/>
    <w:rsid w:val="00DF7B97"/>
    <w:rsid w:val="00E018A3"/>
    <w:rsid w:val="00E03354"/>
    <w:rsid w:val="00E033BD"/>
    <w:rsid w:val="00E03FF1"/>
    <w:rsid w:val="00E044AB"/>
    <w:rsid w:val="00E051CF"/>
    <w:rsid w:val="00E06327"/>
    <w:rsid w:val="00E063A3"/>
    <w:rsid w:val="00E10DDA"/>
    <w:rsid w:val="00E14EBC"/>
    <w:rsid w:val="00E17963"/>
    <w:rsid w:val="00E21396"/>
    <w:rsid w:val="00E2249A"/>
    <w:rsid w:val="00E236F5"/>
    <w:rsid w:val="00E24506"/>
    <w:rsid w:val="00E30881"/>
    <w:rsid w:val="00E310F9"/>
    <w:rsid w:val="00E31D6F"/>
    <w:rsid w:val="00E337E3"/>
    <w:rsid w:val="00E3596F"/>
    <w:rsid w:val="00E37F64"/>
    <w:rsid w:val="00E402A8"/>
    <w:rsid w:val="00E41A0E"/>
    <w:rsid w:val="00E423A1"/>
    <w:rsid w:val="00E43AD9"/>
    <w:rsid w:val="00E4506A"/>
    <w:rsid w:val="00E46834"/>
    <w:rsid w:val="00E52407"/>
    <w:rsid w:val="00E52A58"/>
    <w:rsid w:val="00E5317A"/>
    <w:rsid w:val="00E53538"/>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4EC"/>
    <w:rsid w:val="00E80D4B"/>
    <w:rsid w:val="00E8670A"/>
    <w:rsid w:val="00E87F61"/>
    <w:rsid w:val="00E90C26"/>
    <w:rsid w:val="00E93B04"/>
    <w:rsid w:val="00E96316"/>
    <w:rsid w:val="00E9660E"/>
    <w:rsid w:val="00EA100B"/>
    <w:rsid w:val="00EA35C9"/>
    <w:rsid w:val="00EA3D1F"/>
    <w:rsid w:val="00EA415B"/>
    <w:rsid w:val="00EA546E"/>
    <w:rsid w:val="00EB12B5"/>
    <w:rsid w:val="00EB19F9"/>
    <w:rsid w:val="00EB2CC9"/>
    <w:rsid w:val="00EB2CF3"/>
    <w:rsid w:val="00EB368D"/>
    <w:rsid w:val="00EB560F"/>
    <w:rsid w:val="00EB5AE5"/>
    <w:rsid w:val="00EB6C0C"/>
    <w:rsid w:val="00EB7C04"/>
    <w:rsid w:val="00EC04CE"/>
    <w:rsid w:val="00EC0A21"/>
    <w:rsid w:val="00EC4D96"/>
    <w:rsid w:val="00EC5851"/>
    <w:rsid w:val="00EC67CC"/>
    <w:rsid w:val="00EC68F7"/>
    <w:rsid w:val="00EC6F8E"/>
    <w:rsid w:val="00EC7DCB"/>
    <w:rsid w:val="00EC7F43"/>
    <w:rsid w:val="00ED2DE4"/>
    <w:rsid w:val="00ED4C9A"/>
    <w:rsid w:val="00ED5020"/>
    <w:rsid w:val="00ED62AA"/>
    <w:rsid w:val="00ED6A8E"/>
    <w:rsid w:val="00EE0B70"/>
    <w:rsid w:val="00EE129F"/>
    <w:rsid w:val="00EE1E05"/>
    <w:rsid w:val="00EE2AE3"/>
    <w:rsid w:val="00EE5AB4"/>
    <w:rsid w:val="00EE611C"/>
    <w:rsid w:val="00EF0E3B"/>
    <w:rsid w:val="00EF20E6"/>
    <w:rsid w:val="00EF24CD"/>
    <w:rsid w:val="00EF2EF0"/>
    <w:rsid w:val="00EF3C80"/>
    <w:rsid w:val="00EF4831"/>
    <w:rsid w:val="00EF493A"/>
    <w:rsid w:val="00EF51F1"/>
    <w:rsid w:val="00F01D9E"/>
    <w:rsid w:val="00F03CC1"/>
    <w:rsid w:val="00F043C7"/>
    <w:rsid w:val="00F05830"/>
    <w:rsid w:val="00F058DF"/>
    <w:rsid w:val="00F05900"/>
    <w:rsid w:val="00F07005"/>
    <w:rsid w:val="00F0724C"/>
    <w:rsid w:val="00F11731"/>
    <w:rsid w:val="00F13619"/>
    <w:rsid w:val="00F15078"/>
    <w:rsid w:val="00F1532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4469"/>
    <w:rsid w:val="00F377F2"/>
    <w:rsid w:val="00F405B3"/>
    <w:rsid w:val="00F40B8A"/>
    <w:rsid w:val="00F40EAE"/>
    <w:rsid w:val="00F40ED2"/>
    <w:rsid w:val="00F41972"/>
    <w:rsid w:val="00F41D10"/>
    <w:rsid w:val="00F42DBE"/>
    <w:rsid w:val="00F4381F"/>
    <w:rsid w:val="00F44815"/>
    <w:rsid w:val="00F451FA"/>
    <w:rsid w:val="00F46671"/>
    <w:rsid w:val="00F4696A"/>
    <w:rsid w:val="00F47D6D"/>
    <w:rsid w:val="00F50D70"/>
    <w:rsid w:val="00F51DBD"/>
    <w:rsid w:val="00F5372D"/>
    <w:rsid w:val="00F55AB8"/>
    <w:rsid w:val="00F55B65"/>
    <w:rsid w:val="00F56DD2"/>
    <w:rsid w:val="00F56E2E"/>
    <w:rsid w:val="00F57E60"/>
    <w:rsid w:val="00F613A2"/>
    <w:rsid w:val="00F62128"/>
    <w:rsid w:val="00F6244E"/>
    <w:rsid w:val="00F62790"/>
    <w:rsid w:val="00F62D83"/>
    <w:rsid w:val="00F63379"/>
    <w:rsid w:val="00F652AC"/>
    <w:rsid w:val="00F7095B"/>
    <w:rsid w:val="00F71322"/>
    <w:rsid w:val="00F72835"/>
    <w:rsid w:val="00F72A6B"/>
    <w:rsid w:val="00F74B0A"/>
    <w:rsid w:val="00F75D72"/>
    <w:rsid w:val="00F80648"/>
    <w:rsid w:val="00F80802"/>
    <w:rsid w:val="00F813FD"/>
    <w:rsid w:val="00F827F8"/>
    <w:rsid w:val="00F848CE"/>
    <w:rsid w:val="00F85A6B"/>
    <w:rsid w:val="00F86A12"/>
    <w:rsid w:val="00F873FF"/>
    <w:rsid w:val="00F92955"/>
    <w:rsid w:val="00F948A9"/>
    <w:rsid w:val="00F948FF"/>
    <w:rsid w:val="00F95313"/>
    <w:rsid w:val="00F95AF4"/>
    <w:rsid w:val="00F95BEC"/>
    <w:rsid w:val="00F97D77"/>
    <w:rsid w:val="00FA111F"/>
    <w:rsid w:val="00FA11AD"/>
    <w:rsid w:val="00FA1B86"/>
    <w:rsid w:val="00FA37A2"/>
    <w:rsid w:val="00FA46B7"/>
    <w:rsid w:val="00FA5B15"/>
    <w:rsid w:val="00FA5CC4"/>
    <w:rsid w:val="00FA7974"/>
    <w:rsid w:val="00FB28F2"/>
    <w:rsid w:val="00FB398F"/>
    <w:rsid w:val="00FB5154"/>
    <w:rsid w:val="00FB79DB"/>
    <w:rsid w:val="00FB7A9A"/>
    <w:rsid w:val="00FC1AA5"/>
    <w:rsid w:val="00FC221C"/>
    <w:rsid w:val="00FC292D"/>
    <w:rsid w:val="00FC453C"/>
    <w:rsid w:val="00FC57A4"/>
    <w:rsid w:val="00FD0DFA"/>
    <w:rsid w:val="00FD1C3A"/>
    <w:rsid w:val="00FD1DF0"/>
    <w:rsid w:val="00FD20F6"/>
    <w:rsid w:val="00FD364D"/>
    <w:rsid w:val="00FD4FF1"/>
    <w:rsid w:val="00FD73DF"/>
    <w:rsid w:val="00FD7FF4"/>
    <w:rsid w:val="00FE03A4"/>
    <w:rsid w:val="00FE2373"/>
    <w:rsid w:val="00FE34DD"/>
    <w:rsid w:val="00FE45D2"/>
    <w:rsid w:val="00FE49F7"/>
    <w:rsid w:val="00FE56B9"/>
    <w:rsid w:val="00FE72DF"/>
    <w:rsid w:val="00FF306C"/>
    <w:rsid w:val="00FF4C84"/>
    <w:rsid w:val="00FF56FC"/>
    <w:rsid w:val="00FF5A3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CF8"/>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
    <w:name w:val="table of figures"/>
    <w:basedOn w:val="a"/>
    <w:next w:val="a"/>
    <w:uiPriority w:val="99"/>
    <w:unhideWhenUsed/>
    <w:rsid w:val="00D22C62"/>
    <w:pPr>
      <w:spacing w:after="0"/>
    </w:pPr>
    <w:rPr>
      <w:b/>
    </w:rPr>
  </w:style>
  <w:style w:type="paragraph" w:customStyle="1" w:styleId="Agreement">
    <w:name w:val="Agreement"/>
    <w:basedOn w:val="a"/>
    <w:next w:val="a"/>
    <w:qFormat/>
    <w:rsid w:val="00F827F8"/>
    <w:pPr>
      <w:numPr>
        <w:numId w:val="43"/>
      </w:numPr>
      <w:overflowPunct/>
      <w:autoSpaceDE/>
      <w:autoSpaceDN/>
      <w:adjustRightInd/>
      <w:spacing w:before="60" w:after="0"/>
      <w:textAlignment w:val="auto"/>
    </w:pPr>
    <w:rPr>
      <w:rFonts w:eastAsia="MS Mincho"/>
      <w:b/>
      <w:szCs w:val="24"/>
    </w:rPr>
  </w:style>
  <w:style w:type="character" w:styleId="aff0">
    <w:name w:val="Mention"/>
    <w:basedOn w:val="a0"/>
    <w:uiPriority w:val="99"/>
    <w:unhideWhenUsed/>
    <w:rsid w:val="00BD34B5"/>
    <w:rPr>
      <w:color w:val="2B579A"/>
      <w:shd w:val="clear" w:color="auto" w:fill="E1DFDD"/>
    </w:rPr>
  </w:style>
  <w:style w:type="character" w:customStyle="1" w:styleId="20">
    <w:name w:val="标题 2 字符"/>
    <w:aliases w:val="H2 字符,h2 字符"/>
    <w:basedOn w:val="a0"/>
    <w:link w:val="2"/>
    <w:rsid w:val="003B4C75"/>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840</TotalTime>
  <Pages>4</Pages>
  <Words>1376</Words>
  <Characters>7848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9206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Lenovo</dc:creator>
  <cp:keywords/>
  <dc:description/>
  <cp:lastModifiedBy>Congchi</cp:lastModifiedBy>
  <cp:revision>480</cp:revision>
  <cp:lastPrinted>2018-05-22T10:28:00Z</cp:lastPrinted>
  <dcterms:created xsi:type="dcterms:W3CDTF">2020-08-05T03:28:00Z</dcterms:created>
  <dcterms:modified xsi:type="dcterms:W3CDTF">2021-08-06T01:43:00Z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